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R4-2113862</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16-27,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defining test cases for PL RS activation delay</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6.1.5.1.2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99-e, there were discussions on whether to define test cases for PL RS activation delay.</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5"/>
              <w:overflowPunct/>
              <w:autoSpaceDE/>
              <w:autoSpaceDN/>
              <w:adjustRightInd/>
              <w:rPr>
                <w:rFonts w:ascii="Arial" w:hAnsi="Arial" w:cs="Arial"/>
                <w:sz w:val="24"/>
                <w:lang w:val="en-US" w:eastAsia="zh-CN"/>
              </w:rPr>
            </w:pPr>
            <w:r>
              <w:rPr>
                <w:rFonts w:ascii="Arial" w:hAnsi="Arial" w:cs="Arial"/>
                <w:sz w:val="24"/>
                <w:lang w:val="en-US" w:eastAsia="zh-CN"/>
              </w:rPr>
              <w:t>WF on Test Case for Pathloss RS Activation Delay</w:t>
            </w:r>
          </w:p>
          <w:p>
            <w:pPr>
              <w:rPr>
                <w:b/>
                <w:u w:val="single"/>
                <w:lang w:eastAsia="zh-CN"/>
              </w:rPr>
            </w:pPr>
          </w:p>
          <w:p>
            <w:pPr>
              <w:rPr>
                <w:rFonts w:eastAsia="Malgun Gothic"/>
                <w:b/>
                <w:u w:val="single"/>
                <w:lang w:eastAsia="ko-KR"/>
              </w:rPr>
            </w:pPr>
            <w:r>
              <w:rPr>
                <w:b/>
                <w:u w:val="single"/>
                <w:lang w:eastAsia="zh-CN"/>
              </w:rPr>
              <w:t>Test Case for Pathloss RS Activation Delay</w:t>
            </w:r>
          </w:p>
          <w:p>
            <w:pPr>
              <w:pStyle w:val="25"/>
              <w:widowControl/>
              <w:numPr>
                <w:ilvl w:val="0"/>
                <w:numId w:val="6"/>
              </w:numPr>
              <w:overflowPunct/>
              <w:autoSpaceDE/>
              <w:autoSpaceDN/>
              <w:adjustRightInd/>
              <w:spacing w:after="120"/>
              <w:ind w:firstLineChars="0"/>
              <w:jc w:val="left"/>
              <w:rPr>
                <w:rFonts w:ascii="Times New Roman" w:hAnsi="Times New Roman"/>
                <w:sz w:val="20"/>
                <w:szCs w:val="20"/>
              </w:rPr>
            </w:pPr>
            <w:r>
              <w:rPr>
                <w:rFonts w:ascii="Times New Roman" w:hAnsi="Times New Roman"/>
                <w:sz w:val="20"/>
                <w:szCs w:val="20"/>
              </w:rPr>
              <w:t>RAN4 further study the testability of PL RS activation delay requirement.</w:t>
            </w:r>
          </w:p>
          <w:p>
            <w:pPr>
              <w:pStyle w:val="25"/>
              <w:numPr>
                <w:ilvl w:val="1"/>
                <w:numId w:val="6"/>
              </w:numPr>
              <w:overflowPunct/>
              <w:autoSpaceDE/>
              <w:autoSpaceDN/>
              <w:adjustRightInd/>
              <w:spacing w:after="120"/>
              <w:ind w:firstLineChars="0"/>
              <w:rPr>
                <w:rFonts w:ascii="Times New Roman" w:hAnsi="Times New Roman"/>
                <w:sz w:val="20"/>
                <w:szCs w:val="20"/>
              </w:rPr>
            </w:pPr>
            <w:r>
              <w:rPr>
                <w:rFonts w:ascii="Times New Roman" w:hAnsi="Times New Roman"/>
                <w:sz w:val="20"/>
                <w:szCs w:val="20"/>
              </w:rPr>
              <w:t>The test case could be defined provided at least following two conditions are satisfied:</w:t>
            </w:r>
          </w:p>
          <w:p>
            <w:pPr>
              <w:pStyle w:val="25"/>
              <w:numPr>
                <w:ilvl w:val="2"/>
                <w:numId w:val="6"/>
              </w:numPr>
              <w:overflowPunct/>
              <w:autoSpaceDE/>
              <w:autoSpaceDN/>
              <w:adjustRightInd/>
              <w:spacing w:after="120"/>
              <w:ind w:firstLineChars="0"/>
              <w:rPr>
                <w:rFonts w:ascii="Times New Roman" w:hAnsi="Times New Roman"/>
                <w:sz w:val="20"/>
                <w:szCs w:val="20"/>
              </w:rPr>
            </w:pPr>
            <w:r>
              <w:rPr>
                <w:rFonts w:ascii="Times New Roman" w:hAnsi="Times New Roman"/>
                <w:sz w:val="20"/>
                <w:szCs w:val="20"/>
              </w:rPr>
              <w:t>Calculated pathloss changes before and after PL RS switching to trigger PHR;</w:t>
            </w:r>
          </w:p>
          <w:p>
            <w:pPr>
              <w:pStyle w:val="25"/>
              <w:numPr>
                <w:ilvl w:val="2"/>
                <w:numId w:val="6"/>
              </w:numPr>
              <w:overflowPunct/>
              <w:autoSpaceDE/>
              <w:autoSpaceDN/>
              <w:adjustRightInd/>
              <w:spacing w:after="120"/>
              <w:ind w:firstLineChars="0"/>
              <w:rPr>
                <w:rFonts w:ascii="Times New Roman" w:hAnsi="Times New Roman"/>
                <w:sz w:val="20"/>
                <w:szCs w:val="20"/>
              </w:rPr>
            </w:pPr>
            <w:r>
              <w:rPr>
                <w:rFonts w:ascii="Times New Roman" w:hAnsi="Times New Roman"/>
                <w:sz w:val="20"/>
                <w:szCs w:val="20"/>
              </w:rPr>
              <w:t>No conditions of triggering PHR are meet other than calculated PL changing.</w:t>
            </w:r>
          </w:p>
          <w:p>
            <w:pPr>
              <w:pStyle w:val="25"/>
              <w:widowControl/>
              <w:numPr>
                <w:ilvl w:val="0"/>
                <w:numId w:val="6"/>
              </w:numPr>
              <w:overflowPunct/>
              <w:autoSpaceDE/>
              <w:autoSpaceDN/>
              <w:adjustRightInd/>
              <w:spacing w:after="120"/>
              <w:ind w:firstLineChars="0"/>
              <w:jc w:val="left"/>
              <w:rPr>
                <w:rFonts w:ascii="Times New Roman" w:hAnsi="Times New Roman"/>
                <w:sz w:val="20"/>
                <w:szCs w:val="20"/>
              </w:rPr>
            </w:pPr>
            <w:r>
              <w:rPr>
                <w:rFonts w:hint="eastAsia" w:ascii="Times New Roman" w:hAnsi="Times New Roman"/>
                <w:sz w:val="20"/>
                <w:szCs w:val="20"/>
              </w:rPr>
              <w:t>T</w:t>
            </w:r>
            <w:r>
              <w:rPr>
                <w:rFonts w:ascii="Times New Roman" w:hAnsi="Times New Roman"/>
                <w:sz w:val="20"/>
                <w:szCs w:val="20"/>
              </w:rPr>
              <w:t>est method for Pathloss RS Activation Delay</w:t>
            </w:r>
          </w:p>
          <w:p>
            <w:pPr>
              <w:pStyle w:val="25"/>
              <w:widowControl/>
              <w:numPr>
                <w:ilvl w:val="1"/>
                <w:numId w:val="6"/>
              </w:numPr>
              <w:overflowPunct/>
              <w:autoSpaceDE/>
              <w:autoSpaceDN/>
              <w:adjustRightInd/>
              <w:spacing w:after="120"/>
              <w:ind w:firstLineChars="0"/>
              <w:jc w:val="left"/>
              <w:rPr>
                <w:rFonts w:ascii="Times New Roman" w:hAnsi="Times New Roman"/>
                <w:sz w:val="20"/>
                <w:szCs w:val="20"/>
              </w:rPr>
            </w:pPr>
            <w:r>
              <w:rPr>
                <w:rFonts w:ascii="Times New Roman" w:hAnsi="Times New Roman"/>
                <w:sz w:val="20"/>
                <w:szCs w:val="20"/>
              </w:rPr>
              <w:t xml:space="preserve">Method 1: </w:t>
            </w:r>
          </w:p>
          <w:p>
            <w:pPr>
              <w:pStyle w:val="25"/>
              <w:numPr>
                <w:ilvl w:val="2"/>
                <w:numId w:val="6"/>
              </w:numPr>
              <w:overflowPunct/>
              <w:autoSpaceDE/>
              <w:autoSpaceDN/>
              <w:adjustRightInd/>
              <w:spacing w:after="120"/>
              <w:ind w:firstLineChars="0"/>
              <w:rPr>
                <w:rFonts w:ascii="Times New Roman" w:hAnsi="Times New Roman"/>
                <w:sz w:val="20"/>
                <w:szCs w:val="20"/>
              </w:rPr>
            </w:pPr>
            <w:r>
              <w:rPr>
                <w:rFonts w:ascii="Times New Roman" w:hAnsi="Times New Roman"/>
                <w:sz w:val="20"/>
                <w:szCs w:val="20"/>
              </w:rPr>
              <w:t>Two pathloss RSs are defined in the test case with different transmitting powers (like RA test) much larger than L1-RSRP accuracy and PHR triggering PL threshold.</w:t>
            </w:r>
          </w:p>
          <w:p>
            <w:pPr>
              <w:pStyle w:val="25"/>
              <w:numPr>
                <w:ilvl w:val="2"/>
                <w:numId w:val="6"/>
              </w:numPr>
              <w:overflowPunct/>
              <w:autoSpaceDE/>
              <w:autoSpaceDN/>
              <w:adjustRightInd/>
              <w:spacing w:after="120"/>
              <w:ind w:firstLineChars="0"/>
              <w:rPr>
                <w:rFonts w:ascii="Times New Roman" w:hAnsi="Times New Roman"/>
                <w:sz w:val="20"/>
                <w:szCs w:val="20"/>
              </w:rPr>
            </w:pPr>
            <w:r>
              <w:rPr>
                <w:rFonts w:ascii="Times New Roman" w:hAnsi="Times New Roman"/>
                <w:sz w:val="20"/>
                <w:szCs w:val="20"/>
              </w:rPr>
              <w:t>Considering measurement accuracy, the PHR triggering PL threshold is set to be larger than L1-RSRP accuracy.</w:t>
            </w:r>
          </w:p>
          <w:p>
            <w:pPr>
              <w:pStyle w:val="25"/>
              <w:numPr>
                <w:ilvl w:val="2"/>
                <w:numId w:val="6"/>
              </w:numPr>
              <w:overflowPunct/>
              <w:autoSpaceDE/>
              <w:autoSpaceDN/>
              <w:adjustRightInd/>
              <w:spacing w:after="120"/>
              <w:ind w:firstLineChars="0"/>
              <w:rPr>
                <w:rFonts w:ascii="Times New Roman" w:hAnsi="Times New Roman"/>
                <w:sz w:val="20"/>
                <w:szCs w:val="20"/>
              </w:rPr>
            </w:pPr>
            <w:r>
              <w:rPr>
                <w:rFonts w:ascii="Times New Roman" w:hAnsi="Times New Roman"/>
                <w:sz w:val="20"/>
                <w:szCs w:val="20"/>
              </w:rPr>
              <w:t>All power control related parameters other than PL RS indicated by RRC are stated unchanged during the whole test.</w:t>
            </w:r>
          </w:p>
          <w:p>
            <w:pPr>
              <w:pStyle w:val="25"/>
              <w:numPr>
                <w:ilvl w:val="1"/>
                <w:numId w:val="6"/>
              </w:numPr>
              <w:overflowPunct/>
              <w:autoSpaceDE/>
              <w:autoSpaceDN/>
              <w:adjustRightInd/>
              <w:spacing w:after="120"/>
              <w:ind w:firstLineChars="0"/>
              <w:rPr>
                <w:rFonts w:ascii="Times New Roman" w:hAnsi="Times New Roman"/>
                <w:sz w:val="20"/>
                <w:szCs w:val="20"/>
              </w:rPr>
            </w:pPr>
            <w:r>
              <w:rPr>
                <w:rFonts w:ascii="Times New Roman" w:hAnsi="Times New Roman"/>
                <w:sz w:val="20"/>
                <w:szCs w:val="20"/>
              </w:rPr>
              <w:t>Other feasible test methods are not precluded.</w:t>
            </w:r>
          </w:p>
          <w:p>
            <w:pPr>
              <w:pStyle w:val="25"/>
              <w:numPr>
                <w:ilvl w:val="1"/>
                <w:numId w:val="6"/>
              </w:numPr>
              <w:overflowPunct/>
              <w:autoSpaceDE/>
              <w:autoSpaceDN/>
              <w:adjustRightInd/>
              <w:spacing w:after="120"/>
              <w:ind w:firstLineChars="0"/>
              <w:rPr>
                <w:rFonts w:ascii="Times New Roman" w:hAnsi="Times New Roman"/>
                <w:sz w:val="20"/>
                <w:szCs w:val="20"/>
              </w:rPr>
            </w:pPr>
            <w:r>
              <w:rPr>
                <w:rFonts w:hint="eastAsia" w:ascii="Times New Roman" w:hAnsi="Times New Roman"/>
                <w:sz w:val="20"/>
                <w:szCs w:val="20"/>
              </w:rPr>
              <w:t>T</w:t>
            </w:r>
            <w:r>
              <w:rPr>
                <w:rFonts w:ascii="Times New Roman" w:hAnsi="Times New Roman"/>
                <w:sz w:val="20"/>
                <w:szCs w:val="20"/>
              </w:rPr>
              <w:t>he test method should be sound and the CR be revised accordingly.</w:t>
            </w:r>
          </w:p>
          <w:p>
            <w:pPr>
              <w:pStyle w:val="25"/>
              <w:widowControl/>
              <w:numPr>
                <w:ilvl w:val="0"/>
                <w:numId w:val="6"/>
              </w:numPr>
              <w:overflowPunct/>
              <w:autoSpaceDE/>
              <w:autoSpaceDN/>
              <w:adjustRightInd/>
              <w:spacing w:after="120"/>
              <w:ind w:firstLineChars="0"/>
              <w:jc w:val="left"/>
              <w:rPr>
                <w:rFonts w:ascii="Times New Roman" w:hAnsi="Times New Roman"/>
                <w:sz w:val="20"/>
                <w:szCs w:val="20"/>
              </w:rPr>
            </w:pPr>
            <w:r>
              <w:rPr>
                <w:rFonts w:hint="eastAsia" w:ascii="Times New Roman" w:hAnsi="Times New Roman"/>
                <w:sz w:val="20"/>
                <w:szCs w:val="20"/>
              </w:rPr>
              <w:t>Issue</w:t>
            </w:r>
            <w:r>
              <w:rPr>
                <w:rFonts w:ascii="Times New Roman" w:hAnsi="Times New Roman"/>
                <w:sz w:val="20"/>
                <w:szCs w:val="20"/>
              </w:rPr>
              <w:t>s to be further studied</w:t>
            </w:r>
          </w:p>
          <w:p>
            <w:pPr>
              <w:pStyle w:val="25"/>
              <w:numPr>
                <w:ilvl w:val="1"/>
                <w:numId w:val="6"/>
              </w:numPr>
              <w:overflowPunct/>
              <w:autoSpaceDE/>
              <w:autoSpaceDN/>
              <w:adjustRightInd/>
              <w:spacing w:after="120"/>
              <w:ind w:firstLineChars="0"/>
              <w:rPr>
                <w:rFonts w:hint="eastAsia"/>
                <w:b w:val="0"/>
                <w:bCs/>
                <w:sz w:val="22"/>
                <w:szCs w:val="22"/>
                <w:vertAlign w:val="baseline"/>
                <w:lang w:val="en-US" w:eastAsia="zh-CN"/>
              </w:rPr>
            </w:pPr>
            <w:r>
              <w:rPr>
                <w:rFonts w:hint="eastAsia" w:ascii="Times New Roman" w:hAnsi="Times New Roman"/>
                <w:sz w:val="20"/>
                <w:szCs w:val="20"/>
              </w:rPr>
              <w:t>W</w:t>
            </w:r>
            <w:r>
              <w:rPr>
                <w:rFonts w:ascii="Times New Roman" w:hAnsi="Times New Roman"/>
                <w:sz w:val="20"/>
                <w:szCs w:val="20"/>
              </w:rPr>
              <w:t>hether the pathloss (for triggering PHR) is calculated by L1-RSRP or L3-RSRP.</w:t>
            </w:r>
          </w:p>
          <w:p>
            <w:pPr>
              <w:pStyle w:val="25"/>
              <w:numPr>
                <w:ilvl w:val="0"/>
                <w:numId w:val="0"/>
              </w:numPr>
              <w:overflowPunct/>
              <w:autoSpaceDE/>
              <w:autoSpaceDN/>
              <w:adjustRightInd/>
              <w:spacing w:after="120"/>
              <w:ind w:firstLine="2000" w:firstLineChars="1000"/>
              <w:rPr>
                <w:rFonts w:hint="eastAsia"/>
                <w:b w:val="0"/>
                <w:bCs/>
                <w:sz w:val="22"/>
                <w:szCs w:val="22"/>
                <w:vertAlign w:val="baseline"/>
                <w:lang w:val="en-US" w:eastAsia="zh-CN"/>
              </w:rPr>
            </w:pPr>
            <w:r>
              <w:rPr>
                <w:rFonts w:hint="eastAsia" w:ascii="Times New Roman" w:hAnsi="Times New Roman" w:eastAsia="宋体"/>
                <w:sz w:val="20"/>
                <w:szCs w:val="20"/>
                <w:lang w:val="en-US" w:eastAsia="zh-CN"/>
              </w:rPr>
              <w:t xml:space="preserve">- </w:t>
            </w:r>
            <w:r>
              <w:rPr>
                <w:rFonts w:ascii="Times New Roman" w:hAnsi="Times New Roman"/>
                <w:sz w:val="20"/>
                <w:szCs w:val="20"/>
              </w:rPr>
              <w:t>Calculating by L3-RSRP may have impact on RL RS switching delay due to L3 filtering time window and thus on the test method. Currently no evidence found in RAN1/RAN2 spec shows a determinative answer to this question. Companies are encouraged to share their opinions.</w:t>
            </w: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w:t>
      </w:r>
    </w:p>
    <w:p>
      <w:pPr>
        <w:pStyle w:val="27"/>
        <w:jc w:val="both"/>
        <w:rPr>
          <w:rFonts w:hint="default" w:eastAsia="宋体"/>
          <w:lang w:val="en-US" w:eastAsia="zh-CN"/>
        </w:rPr>
      </w:pPr>
      <w:r>
        <w:t>2</w:t>
      </w:r>
      <w:r>
        <w:tab/>
      </w:r>
      <w:r>
        <w:rPr>
          <w:rFonts w:hint="eastAsia"/>
          <w:lang w:val="en-US" w:eastAsia="zh-CN"/>
        </w:rPr>
        <w:t>Discussions</w:t>
      </w:r>
    </w:p>
    <w:p>
      <w:pPr>
        <w:spacing w:before="120" w:beforeLines="50" w:after="120"/>
        <w:jc w:val="both"/>
        <w:rPr>
          <w:rFonts w:hint="eastAsia" w:ascii="Times New Roman" w:hAnsi="Times New Roman"/>
          <w:sz w:val="22"/>
          <w:szCs w:val="22"/>
          <w:lang w:val="en-US" w:eastAsia="zh-CN"/>
        </w:rPr>
      </w:pPr>
      <w:r>
        <w:rPr>
          <w:rFonts w:hint="eastAsia" w:ascii="Times New Roman" w:hAnsi="Times New Roman"/>
          <w:sz w:val="22"/>
          <w:szCs w:val="22"/>
          <w:lang w:val="en-US" w:eastAsia="zh-CN"/>
        </w:rPr>
        <w:t>Companies have been discussing whether to define PL RS activation delay TCs for a while. In our view it</w:t>
      </w:r>
      <w:r>
        <w:rPr>
          <w:rFonts w:hint="default" w:ascii="Times New Roman" w:hAnsi="Times New Roman"/>
          <w:sz w:val="22"/>
          <w:szCs w:val="22"/>
          <w:lang w:val="en-US" w:eastAsia="zh-CN"/>
        </w:rPr>
        <w:t>’</w:t>
      </w:r>
      <w:r>
        <w:rPr>
          <w:rFonts w:hint="eastAsia" w:ascii="Times New Roman" w:hAnsi="Times New Roman"/>
          <w:sz w:val="22"/>
          <w:szCs w:val="22"/>
          <w:lang w:val="en-US" w:eastAsia="zh-CN"/>
        </w:rPr>
        <w:t>s more than obvious that test cases shall be defined corresponding to the core requirements so that the core requirements can be enforced. It</w:t>
      </w:r>
      <w:r>
        <w:rPr>
          <w:rFonts w:hint="default" w:ascii="Times New Roman" w:hAnsi="Times New Roman"/>
          <w:sz w:val="22"/>
          <w:szCs w:val="22"/>
          <w:lang w:val="en-US" w:eastAsia="zh-CN"/>
        </w:rPr>
        <w:t>’</w:t>
      </w:r>
      <w:r>
        <w:rPr>
          <w:rFonts w:hint="eastAsia" w:ascii="Times New Roman" w:hAnsi="Times New Roman"/>
          <w:sz w:val="22"/>
          <w:szCs w:val="22"/>
          <w:lang w:val="en-US" w:eastAsia="zh-CN"/>
        </w:rPr>
        <w:t>s worth noting that it</w:t>
      </w:r>
      <w:r>
        <w:rPr>
          <w:rFonts w:hint="default" w:ascii="Times New Roman" w:hAnsi="Times New Roman"/>
          <w:sz w:val="22"/>
          <w:szCs w:val="22"/>
          <w:lang w:val="en-US" w:eastAsia="zh-CN"/>
        </w:rPr>
        <w:t>’</w:t>
      </w:r>
      <w:r>
        <w:rPr>
          <w:rFonts w:hint="eastAsia" w:ascii="Times New Roman" w:hAnsi="Times New Roman"/>
          <w:sz w:val="22"/>
          <w:szCs w:val="22"/>
          <w:lang w:val="en-US" w:eastAsia="zh-CN"/>
        </w:rPr>
        <w:t>s common practice to define test cases in correspondence with core requirements and it</w:t>
      </w:r>
      <w:r>
        <w:rPr>
          <w:rFonts w:hint="default" w:ascii="Times New Roman" w:hAnsi="Times New Roman"/>
          <w:sz w:val="22"/>
          <w:szCs w:val="22"/>
          <w:lang w:val="en-US" w:eastAsia="zh-CN"/>
        </w:rPr>
        <w:t>’</w:t>
      </w:r>
      <w:r>
        <w:rPr>
          <w:rFonts w:hint="eastAsia" w:ascii="Times New Roman" w:hAnsi="Times New Roman"/>
          <w:sz w:val="22"/>
          <w:szCs w:val="22"/>
          <w:lang w:val="en-US" w:eastAsia="zh-CN"/>
        </w:rPr>
        <w:t>s rare to omit test cases.</w:t>
      </w:r>
    </w:p>
    <w:p>
      <w:pPr>
        <w:spacing w:before="120" w:beforeLines="50" w:after="120"/>
        <w:jc w:val="both"/>
        <w:rPr>
          <w:rFonts w:hint="eastAsia" w:ascii="Times New Roman" w:hAnsi="Times New Roman"/>
          <w:sz w:val="22"/>
          <w:szCs w:val="22"/>
          <w:lang w:val="en-US" w:eastAsia="zh-CN"/>
        </w:rPr>
      </w:pPr>
      <w:r>
        <w:rPr>
          <w:rFonts w:hint="eastAsia" w:ascii="Times New Roman" w:hAnsi="Times New Roman"/>
          <w:sz w:val="22"/>
          <w:szCs w:val="22"/>
          <w:lang w:val="en-US" w:eastAsia="zh-CN"/>
        </w:rPr>
        <w:t xml:space="preserve">According to the latest WF, the test case shall be defined given that calculated pathloss changes before and after PL RS switching to trigger PHR and no conditions of triggering PHR are meet other than calculated PL changing. With the suggested test method proposed in our campaign CR </w:t>
      </w:r>
      <w:r>
        <w:rPr>
          <w:rFonts w:hint="eastAsia" w:ascii="Times New Roman" w:hAnsi="Times New Roman"/>
          <w:sz w:val="22"/>
          <w:szCs w:val="22"/>
          <w:highlight w:val="none"/>
          <w:lang w:val="en-US" w:eastAsia="zh-CN"/>
        </w:rPr>
        <w:t>[6]</w:t>
      </w:r>
      <w:r>
        <w:rPr>
          <w:rFonts w:hint="eastAsia" w:ascii="Times New Roman" w:hAnsi="Times New Roman"/>
          <w:sz w:val="22"/>
          <w:szCs w:val="22"/>
          <w:lang w:val="en-US" w:eastAsia="zh-CN"/>
        </w:rPr>
        <w:t>, these two conditions are met and thus, the test method shall be seen as feasible.</w:t>
      </w:r>
    </w:p>
    <w:p>
      <w:pPr>
        <w:spacing w:before="120" w:beforeLines="50" w:after="120"/>
        <w:jc w:val="both"/>
        <w:rPr>
          <w:rFonts w:hint="eastAsia" w:ascii="Times New Roman" w:hAnsi="Times New Roman"/>
          <w:sz w:val="22"/>
          <w:szCs w:val="22"/>
          <w:lang w:val="en-US" w:eastAsia="zh-CN"/>
        </w:rPr>
      </w:pPr>
      <w:r>
        <w:rPr>
          <w:rFonts w:hint="eastAsia" w:ascii="Times New Roman" w:hAnsi="Times New Roman"/>
          <w:b/>
          <w:bCs/>
          <w:sz w:val="22"/>
          <w:szCs w:val="22"/>
          <w:lang w:val="en-US" w:eastAsia="zh-CN"/>
        </w:rPr>
        <w:t xml:space="preserve">Observation 1: </w:t>
      </w:r>
      <w:r>
        <w:rPr>
          <w:rFonts w:hint="eastAsia" w:ascii="Times New Roman" w:hAnsi="Times New Roman"/>
          <w:sz w:val="22"/>
          <w:szCs w:val="22"/>
          <w:lang w:val="en-US" w:eastAsia="zh-CN"/>
        </w:rPr>
        <w:t xml:space="preserve">With the suggested test method proposed in our campaign CR </w:t>
      </w:r>
      <w:r>
        <w:rPr>
          <w:rFonts w:hint="eastAsia" w:ascii="Times New Roman" w:hAnsi="Times New Roman"/>
          <w:sz w:val="22"/>
          <w:szCs w:val="22"/>
          <w:highlight w:val="none"/>
          <w:lang w:val="en-US" w:eastAsia="zh-CN"/>
        </w:rPr>
        <w:t>[6]</w:t>
      </w:r>
      <w:r>
        <w:rPr>
          <w:rFonts w:hint="eastAsia" w:ascii="Times New Roman" w:hAnsi="Times New Roman"/>
          <w:sz w:val="22"/>
          <w:szCs w:val="22"/>
          <w:lang w:val="en-US" w:eastAsia="zh-CN"/>
        </w:rPr>
        <w:t>, calculated pathloss changes before and after PL RS switching to trigger PHR and no conditions of triggering PHR are meet other than calculated PL changing.</w:t>
      </w:r>
    </w:p>
    <w:p>
      <w:pPr>
        <w:pStyle w:val="35"/>
        <w:rPr>
          <w:rFonts w:hint="default" w:ascii="Times New Roman" w:hAnsi="Times New Roman"/>
          <w:sz w:val="22"/>
          <w:szCs w:val="22"/>
          <w:lang w:val="en-US" w:eastAsia="zh-CN"/>
        </w:rPr>
      </w:pPr>
      <w:r>
        <w:rPr>
          <w:rFonts w:hint="eastAsia" w:ascii="Times New Roman" w:hAnsi="Times New Roman"/>
          <w:b/>
          <w:bCs/>
          <w:sz w:val="20"/>
          <w:szCs w:val="22"/>
          <w:lang w:val="en-US" w:eastAsia="zh-CN"/>
        </w:rPr>
        <w:t>Test cases</w:t>
      </w:r>
      <w:r>
        <w:rPr>
          <w:rFonts w:ascii="Times New Roman" w:hAnsi="Times New Roman"/>
          <w:b/>
          <w:bCs/>
          <w:sz w:val="20"/>
          <w:szCs w:val="22"/>
          <w:lang w:val="en-US" w:eastAsia="zh-CN"/>
        </w:rPr>
        <w:t xml:space="preserve"> for MAC-CE based pathloss RS activation </w:t>
      </w:r>
      <w:r>
        <w:rPr>
          <w:rFonts w:hint="eastAsia" w:ascii="Times New Roman" w:hAnsi="Times New Roman"/>
          <w:b/>
          <w:bCs/>
          <w:sz w:val="20"/>
          <w:szCs w:val="22"/>
          <w:lang w:val="en-US" w:eastAsia="zh-CN"/>
        </w:rPr>
        <w:t>delay</w:t>
      </w:r>
      <w:r>
        <w:rPr>
          <w:rFonts w:ascii="Times New Roman" w:hAnsi="Times New Roman"/>
          <w:b/>
          <w:bCs/>
          <w:sz w:val="20"/>
          <w:szCs w:val="22"/>
          <w:lang w:val="en-US" w:eastAsia="zh-CN"/>
        </w:rPr>
        <w:t xml:space="preserve"> </w:t>
      </w:r>
      <w:r>
        <w:rPr>
          <w:rFonts w:hint="eastAsia" w:ascii="Times New Roman" w:hAnsi="Times New Roman"/>
          <w:b/>
          <w:bCs/>
          <w:sz w:val="20"/>
          <w:szCs w:val="22"/>
          <w:lang w:val="en-US" w:eastAsia="zh-CN"/>
        </w:rPr>
        <w:t>shall be</w:t>
      </w:r>
      <w:r>
        <w:rPr>
          <w:rFonts w:ascii="Times New Roman" w:hAnsi="Times New Roman"/>
          <w:b/>
          <w:bCs/>
          <w:sz w:val="20"/>
          <w:szCs w:val="22"/>
          <w:lang w:val="en-US" w:eastAsia="zh-CN"/>
        </w:rPr>
        <w:t xml:space="preserve"> </w:t>
      </w:r>
      <w:r>
        <w:rPr>
          <w:rFonts w:hint="eastAsia" w:ascii="Times New Roman" w:hAnsi="Times New Roman"/>
          <w:b/>
          <w:bCs/>
          <w:sz w:val="20"/>
          <w:szCs w:val="22"/>
          <w:lang w:val="en-US" w:eastAsia="zh-CN"/>
        </w:rPr>
        <w:t>defined</w:t>
      </w:r>
      <w:r>
        <w:rPr>
          <w:rFonts w:ascii="Times New Roman" w:hAnsi="Times New Roman"/>
          <w:b/>
          <w:bCs/>
          <w:sz w:val="20"/>
          <w:szCs w:val="22"/>
          <w:lang w:val="en-US" w:eastAsia="zh-CN"/>
        </w:rPr>
        <w:t xml:space="preserve"> in</w:t>
      </w:r>
      <w:r>
        <w:rPr>
          <w:rFonts w:hint="eastAsia" w:ascii="Times New Roman" w:hAnsi="Times New Roman"/>
          <w:b/>
          <w:bCs/>
          <w:sz w:val="20"/>
          <w:szCs w:val="22"/>
          <w:lang w:val="en-US" w:eastAsia="zh-CN"/>
        </w:rPr>
        <w:t xml:space="preserve"> TS 38.133.</w:t>
      </w:r>
      <w:r>
        <w:rPr>
          <w:rFonts w:hint="eastAsia"/>
          <w:b/>
          <w:bCs w:val="0"/>
          <w:sz w:val="22"/>
          <w:szCs w:val="22"/>
          <w:lang w:val="en-US" w:eastAsia="zh-CN"/>
        </w:rPr>
        <w:t xml:space="preserve"> </w:t>
      </w:r>
    </w:p>
    <w:p>
      <w:pPr>
        <w:numPr>
          <w:ilvl w:val="0"/>
          <w:numId w:val="0"/>
        </w:numPr>
        <w:spacing w:before="120" w:beforeLines="50" w:after="120"/>
        <w:ind w:leftChars="0"/>
        <w:jc w:val="both"/>
        <w:rPr>
          <w:rFonts w:hint="eastAsia" w:ascii="Times New Roman" w:hAnsi="Times New Roman"/>
          <w:b w:val="0"/>
          <w:bCs/>
          <w:sz w:val="22"/>
          <w:szCs w:val="22"/>
          <w:lang w:val="en-US" w:eastAsia="zh-CN"/>
        </w:rPr>
      </w:pPr>
      <w:r>
        <w:rPr>
          <w:rFonts w:hint="eastAsia" w:ascii="Times New Roman" w:hAnsi="Times New Roman"/>
          <w:b w:val="0"/>
          <w:bCs/>
          <w:sz w:val="22"/>
          <w:szCs w:val="22"/>
          <w:lang w:val="en-US" w:eastAsia="zh-CN"/>
        </w:rPr>
        <w:t xml:space="preserve">On how to define such a test case, there are several possible ways ahead. One option would be to let the test equipment (TE) to monitor the transmission power of the UE before and after the delay defined in core part. It was agreed that: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numPr>
                <w:ilvl w:val="0"/>
                <w:numId w:val="7"/>
              </w:numPr>
              <w:rPr>
                <w:highlight w:val="green"/>
                <w:lang w:val="en-US"/>
              </w:rPr>
            </w:pPr>
            <w:r>
              <w:rPr>
                <w:highlight w:val="green"/>
                <w:lang w:val="en-US"/>
              </w:rPr>
              <w:t>Agreement</w:t>
            </w:r>
          </w:p>
          <w:p>
            <w:pPr>
              <w:numPr>
                <w:ilvl w:val="1"/>
                <w:numId w:val="7"/>
              </w:numPr>
              <w:rPr>
                <w:rFonts w:hint="default" w:ascii="Times New Roman" w:hAnsi="Times New Roman"/>
                <w:b w:val="0"/>
                <w:bCs/>
                <w:sz w:val="20"/>
                <w:vertAlign w:val="baseline"/>
                <w:lang w:val="en-US" w:eastAsia="zh-CN"/>
              </w:rPr>
            </w:pPr>
            <w:r>
              <w:rPr>
                <w:highlight w:val="green"/>
                <w:lang w:val="en-US"/>
              </w:rPr>
              <w:t xml:space="preserve">UE shall apply old pathloss reference signals until the slot </w:t>
            </w:r>
            <w:r>
              <w:rPr>
                <w:highlight w:val="green"/>
              </w:rPr>
              <w:t xml:space="preserve">n + </w:t>
            </w:r>
            <m:oMath>
              <m:sSub>
                <m:sSubPr>
                  <m:ctrlPr>
                    <w:rPr>
                      <w:rFonts w:hint="default" w:ascii="Cambria Math" w:hAnsi="Cambria Math"/>
                      <w:i/>
                      <w:iCs/>
                      <w:highlight w:val="green"/>
                      <w:lang w:val="en-US"/>
                    </w:rPr>
                  </m:ctrlPr>
                </m:sSubPr>
                <m:e>
                  <m:r>
                    <w:rPr>
                      <w:rFonts w:hint="default" w:ascii="Cambria Math" w:hAnsi="Cambria Math"/>
                      <w:highlight w:val="green"/>
                    </w:rPr>
                    <m:t>T</m:t>
                  </m:r>
                  <m:ctrlPr>
                    <w:rPr>
                      <w:rFonts w:hint="default" w:ascii="Cambria Math" w:hAnsi="Cambria Math"/>
                      <w:i/>
                      <w:iCs/>
                      <w:highlight w:val="green"/>
                      <w:lang w:val="en-US"/>
                    </w:rPr>
                  </m:ctrlPr>
                </m:e>
                <m:sub>
                  <m:r>
                    <w:rPr>
                      <w:rFonts w:hint="default" w:ascii="Cambria Math" w:hAnsi="Cambria Math"/>
                      <w:highlight w:val="green"/>
                    </w:rPr>
                    <m:t>HARQ</m:t>
                  </m:r>
                  <m:ctrlPr>
                    <w:rPr>
                      <w:rFonts w:hint="default" w:ascii="Cambria Math" w:hAnsi="Cambria Math"/>
                      <w:i/>
                      <w:iCs/>
                      <w:highlight w:val="green"/>
                      <w:lang w:val="en-US"/>
                    </w:rPr>
                  </m:ctrlPr>
                </m:sub>
              </m:sSub>
            </m:oMath>
            <w:r>
              <w:rPr>
                <w:highlight w:val="green"/>
              </w:rPr>
              <w:t xml:space="preserve">+ </w:t>
            </w:r>
            <m:oMath>
              <m:sSubSup>
                <m:sSubSupPr>
                  <m:ctrlPr>
                    <w:rPr>
                      <w:rFonts w:hint="default" w:ascii="Cambria Math" w:hAnsi="Cambria Math"/>
                      <w:i/>
                      <w:iCs/>
                      <w:highlight w:val="green"/>
                      <w:lang w:val="en-US"/>
                    </w:rPr>
                  </m:ctrlPr>
                </m:sSubSupPr>
                <m:e>
                  <m:r>
                    <m:rPr>
                      <m:sty m:val="p"/>
                    </m:rPr>
                    <w:rPr>
                      <w:rFonts w:hint="default" w:ascii="Cambria Math" w:hAnsi="Cambria Math"/>
                      <w:highlight w:val="green"/>
                      <w:lang w:val="en-US"/>
                    </w:rPr>
                    <m:t>3N</m:t>
                  </m:r>
                  <m:ctrlPr>
                    <w:rPr>
                      <w:rFonts w:hint="default" w:ascii="Cambria Math" w:hAnsi="Cambria Math"/>
                      <w:i/>
                      <w:iCs/>
                      <w:highlight w:val="green"/>
                      <w:lang w:val="en-US"/>
                    </w:rPr>
                  </m:ctrlPr>
                </m:e>
                <m:sub>
                  <m:r>
                    <m:rPr>
                      <m:sty m:val="p"/>
                    </m:rPr>
                    <w:rPr>
                      <w:rFonts w:hint="default" w:ascii="Cambria Math" w:hAnsi="Cambria Math"/>
                      <w:highlight w:val="green"/>
                      <w:lang w:val="en-US"/>
                    </w:rPr>
                    <m:t>slot</m:t>
                  </m:r>
                  <m:ctrlPr>
                    <w:rPr>
                      <w:rFonts w:hint="default" w:ascii="Cambria Math" w:hAnsi="Cambria Math"/>
                      <w:i/>
                      <w:iCs/>
                      <w:highlight w:val="green"/>
                      <w:lang w:val="en-US"/>
                    </w:rPr>
                  </m:ctrlPr>
                </m:sub>
                <m:sup>
                  <m:r>
                    <m:rPr>
                      <m:sty m:val="p"/>
                    </m:rPr>
                    <w:rPr>
                      <w:rFonts w:hint="default" w:ascii="Cambria Math" w:hAnsi="Cambria Math"/>
                      <w:highlight w:val="green"/>
                      <w:lang w:val="en-US"/>
                    </w:rPr>
                    <m:t>subframe,µ</m:t>
                  </m:r>
                  <m:ctrlPr>
                    <w:rPr>
                      <w:rFonts w:hint="default" w:ascii="Cambria Math" w:hAnsi="Cambria Math"/>
                      <w:i/>
                      <w:iCs/>
                      <w:highlight w:val="green"/>
                      <w:lang w:val="en-US"/>
                    </w:rPr>
                  </m:ctrlPr>
                </m:sup>
              </m:sSubSup>
            </m:oMath>
            <w:r>
              <w:rPr>
                <w:highlight w:val="green"/>
                <w:lang w:val="en-US"/>
              </w:rPr>
              <w:t>, upon receiving PDSCH carrying MAC-CE activation in slot n.</w:t>
            </w:r>
          </w:p>
        </w:tc>
      </w:tr>
    </w:tbl>
    <w:p>
      <w:pPr>
        <w:numPr>
          <w:ilvl w:val="0"/>
          <w:numId w:val="0"/>
        </w:numPr>
        <w:spacing w:before="120" w:beforeLines="50" w:after="120"/>
        <w:ind w:leftChars="0"/>
        <w:jc w:val="both"/>
        <w:rPr>
          <w:rFonts w:hint="eastAsia" w:ascii="Times New Roman" w:hAnsi="Times New Roman"/>
          <w:b w:val="0"/>
          <w:bCs/>
          <w:sz w:val="22"/>
          <w:szCs w:val="22"/>
          <w:lang w:val="en-US" w:eastAsia="zh-CN"/>
        </w:rPr>
      </w:pPr>
      <w:r>
        <w:rPr>
          <w:rFonts w:hint="eastAsia" w:ascii="Times New Roman" w:hAnsi="Times New Roman"/>
          <w:b w:val="0"/>
          <w:bCs/>
          <w:sz w:val="22"/>
          <w:szCs w:val="22"/>
          <w:lang w:val="en-US" w:eastAsia="zh-CN"/>
        </w:rPr>
        <w:t>Thus, the starting point and the ending point of the period when the UE shall apply old PL RS is clear, and can be monitored.</w:t>
      </w:r>
    </w:p>
    <w:p>
      <w:pPr>
        <w:numPr>
          <w:ilvl w:val="0"/>
          <w:numId w:val="0"/>
        </w:numPr>
        <w:spacing w:before="120" w:beforeLines="50" w:after="120"/>
        <w:ind w:leftChars="0"/>
        <w:jc w:val="both"/>
        <w:rPr>
          <w:rFonts w:hint="eastAsia" w:ascii="Times New Roman" w:hAnsi="Times New Roman"/>
          <w:b w:val="0"/>
          <w:bCs/>
          <w:sz w:val="22"/>
          <w:szCs w:val="22"/>
          <w:lang w:val="en-US" w:eastAsia="zh-CN"/>
        </w:rPr>
      </w:pPr>
      <w:r>
        <w:rPr>
          <w:rFonts w:hint="eastAsia" w:ascii="Times New Roman" w:hAnsi="Times New Roman"/>
          <w:b w:val="0"/>
          <w:bCs/>
          <w:sz w:val="22"/>
          <w:szCs w:val="22"/>
          <w:lang w:val="en-US" w:eastAsia="zh-CN"/>
        </w:rPr>
        <w:t>Although monitoring the UE transmission power in UL is the easiest way, there is rarely such test case before. Such a test case would need careful examination especially from the TE vendors. Considering the possible difficulties posed in front of this option, we propose another possible option to be considered.</w:t>
      </w:r>
    </w:p>
    <w:p>
      <w:pPr>
        <w:numPr>
          <w:ilvl w:val="0"/>
          <w:numId w:val="0"/>
        </w:numPr>
        <w:spacing w:before="120" w:beforeLines="50" w:after="120"/>
        <w:ind w:leftChars="0"/>
        <w:jc w:val="both"/>
        <w:rPr>
          <w:rFonts w:hint="eastAsia" w:ascii="Times New Roman" w:hAnsi="Times New Roman"/>
          <w:b w:val="0"/>
          <w:bCs/>
          <w:sz w:val="22"/>
          <w:szCs w:val="22"/>
          <w:lang w:val="en-US" w:eastAsia="zh-CN"/>
        </w:rPr>
      </w:pPr>
      <w:r>
        <w:rPr>
          <w:rFonts w:hint="eastAsia" w:ascii="Times New Roman" w:hAnsi="Times New Roman"/>
          <w:b w:val="0"/>
          <w:bCs/>
          <w:sz w:val="22"/>
          <w:szCs w:val="22"/>
          <w:lang w:val="en-US" w:eastAsia="zh-CN"/>
        </w:rPr>
        <w:t>Option 2 to test such a requirement would be to reflect the change by the power headroom report (PHR) from the UE. In TS38.321 [2], the following content clearly states the condition under which the UE shall report power headroom to the network:</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rPr>
                <w:color w:val="0000FF"/>
              </w:rPr>
            </w:pPr>
            <w:r>
              <w:rPr>
                <w:color w:val="0000FF"/>
              </w:rPr>
              <w:t>A Power Headroom Report (PHR) shall be triggered if any of the following events occur:</w:t>
            </w:r>
          </w:p>
          <w:p>
            <w:pPr>
              <w:pStyle w:val="65"/>
              <w:rPr>
                <w:lang w:eastAsia="ko-KR"/>
              </w:rPr>
            </w:pPr>
            <w:r>
              <w:t>-</w:t>
            </w:r>
            <w:r>
              <w:tab/>
            </w:r>
            <w:r>
              <w:rPr>
                <w:i/>
                <w:highlight w:val="yellow"/>
              </w:rPr>
              <w:t>p</w:t>
            </w:r>
            <w:r>
              <w:rPr>
                <w:i/>
                <w:highlight w:val="yellow"/>
                <w:lang w:eastAsia="ko-KR"/>
              </w:rPr>
              <w:t>hr-P</w:t>
            </w:r>
            <w:r>
              <w:rPr>
                <w:i/>
                <w:highlight w:val="yellow"/>
              </w:rPr>
              <w:t>rohibitTimer</w:t>
            </w:r>
            <w:r>
              <w:rPr>
                <w:highlight w:val="yellow"/>
              </w:rPr>
              <w:t xml:space="preserve"> expires or has expired and the path loss has changed more than </w:t>
            </w:r>
            <w:r>
              <w:rPr>
                <w:i/>
                <w:highlight w:val="yellow"/>
              </w:rPr>
              <w:t>phr-Tx-PowerFactorChange</w:t>
            </w:r>
            <w:r>
              <w:rPr>
                <w:highlight w:val="yellow"/>
              </w:rPr>
              <w:t xml:space="preserve"> dB for at least one activated Serving Cell of any MAC entity</w:t>
            </w:r>
            <w:r>
              <w:rPr>
                <w:highlight w:val="yellow"/>
                <w:lang w:eastAsia="zh-CN"/>
              </w:rPr>
              <w:t xml:space="preserve"> </w:t>
            </w:r>
            <w:r>
              <w:rPr>
                <w:highlight w:val="yellow"/>
              </w:rPr>
              <w:t>of which the active DL BWP is not dormant BWP which is used as a pathloss reference since the last transmission of a PHR in this MAC entity when the MAC entity has UL resources for new transmission;</w:t>
            </w:r>
          </w:p>
          <w:p>
            <w:pPr>
              <w:pStyle w:val="63"/>
              <w:rPr>
                <w:lang w:eastAsia="ko-KR"/>
              </w:rPr>
            </w:pPr>
            <w:r>
              <w:rPr>
                <w:lang w:eastAsia="ko-KR"/>
              </w:rPr>
              <w:t>NOTE 1:</w:t>
            </w:r>
            <w:r>
              <w:rPr>
                <w:lang w:eastAsia="ko-KR"/>
              </w:rPr>
              <w:tab/>
            </w:r>
            <w:r>
              <w:rPr>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pPr>
              <w:pStyle w:val="65"/>
            </w:pPr>
            <w:r>
              <w:t>-</w:t>
            </w:r>
            <w:r>
              <w:tab/>
            </w:r>
            <w:r>
              <w:rPr>
                <w:i/>
              </w:rPr>
              <w:t>p</w:t>
            </w:r>
            <w:r>
              <w:rPr>
                <w:i/>
                <w:lang w:eastAsia="ko-KR"/>
              </w:rPr>
              <w:t>hr-P</w:t>
            </w:r>
            <w:r>
              <w:rPr>
                <w:i/>
              </w:rPr>
              <w:t>eriodicTimer</w:t>
            </w:r>
            <w:r>
              <w:t xml:space="preserve"> expires;</w:t>
            </w:r>
          </w:p>
          <w:p>
            <w:pPr>
              <w:pStyle w:val="65"/>
            </w:pPr>
            <w:r>
              <w:t>-</w:t>
            </w:r>
            <w:r>
              <w:tab/>
            </w:r>
            <w:r>
              <w:t>upon configuration or reconfiguration of the power headroom reporting functionality by upper layers, which is not used to disable the function;</w:t>
            </w:r>
          </w:p>
          <w:p>
            <w:pPr>
              <w:pStyle w:val="65"/>
            </w:pPr>
            <w:r>
              <w:t>-</w:t>
            </w:r>
            <w:r>
              <w:tab/>
            </w:r>
            <w:r>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pPr>
              <w:pStyle w:val="65"/>
            </w:pPr>
            <w:r>
              <w:t>-</w:t>
            </w:r>
            <w:r>
              <w:tab/>
            </w:r>
            <w:r>
              <w:t>addition of the PSCell (i.e. PSCell is newly added or changed)</w:t>
            </w:r>
            <w:r>
              <w:rPr>
                <w:lang w:eastAsia="zh-TW"/>
              </w:rPr>
              <w:t>;</w:t>
            </w:r>
          </w:p>
          <w:p>
            <w:pPr>
              <w:pStyle w:val="65"/>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pPr>
              <w:pStyle w:val="49"/>
            </w:pPr>
            <w:r>
              <w:t>-</w:t>
            </w:r>
            <w:r>
              <w:tab/>
            </w:r>
            <w:r>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pPr>
              <w:pStyle w:val="65"/>
            </w:pPr>
            <w:r>
              <w:t>-</w:t>
            </w:r>
            <w:r>
              <w:tab/>
            </w:r>
            <w:r>
              <w:t>Upon change of activated BWP from dormant BWP to non-dormant DL BWP of an SCell of any MAC entity with configured uplink.</w:t>
            </w:r>
          </w:p>
          <w:p>
            <w:pPr>
              <w:pStyle w:val="63"/>
              <w:rPr>
                <w:rFonts w:ascii="Arial" w:hAnsi="Arial" w:cs="Arial"/>
              </w:rPr>
            </w:pPr>
            <w:r>
              <w:t>NOTE</w:t>
            </w:r>
            <w:r>
              <w:rPr>
                <w:lang w:eastAsia="ko-KR"/>
              </w:rPr>
              <w:t xml:space="preserve"> 2</w:t>
            </w:r>
            <w:r>
              <w:t>:</w:t>
            </w:r>
            <w:r>
              <w:tab/>
            </w:r>
            <w:r>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pPr>
              <w:pStyle w:val="63"/>
              <w:rPr>
                <w:rFonts w:hint="default" w:ascii="Times New Roman" w:hAnsi="Times New Roman"/>
                <w:b w:val="0"/>
                <w:bCs/>
                <w:sz w:val="20"/>
                <w:vertAlign w:val="baseline"/>
                <w:lang w:val="en-US" w:eastAsia="zh-CN"/>
              </w:rPr>
            </w:pPr>
            <w:r>
              <w:rPr>
                <w:rFonts w:ascii="Arial" w:hAnsi="Arial" w:cs="Arial"/>
              </w:rPr>
              <w:t>NOTE</w:t>
            </w:r>
            <w:r>
              <w:rPr>
                <w:rFonts w:ascii="Arial" w:hAnsi="Arial" w:cs="Arial"/>
                <w:lang w:eastAsia="ko-KR"/>
              </w:rPr>
              <w:t xml:space="preserve"> 3</w:t>
            </w:r>
            <w:r>
              <w:rPr>
                <w:rFonts w:ascii="Arial" w:hAnsi="Arial" w:cs="Arial"/>
              </w:rPr>
              <w:t>:</w:t>
            </w:r>
            <w:r>
              <w:rPr>
                <w:rFonts w:ascii="Arial" w:hAnsi="Arial" w:cs="Arial"/>
              </w:rPr>
              <w:tab/>
            </w:r>
            <w:r>
              <w:rPr>
                <w:rFonts w:ascii="Arial" w:hAnsi="Arial" w:cs="Arial"/>
              </w:rPr>
              <w:t xml:space="preserve">If a HARQ process is configured with </w:t>
            </w:r>
            <w:r>
              <w:rPr>
                <w:rFonts w:ascii="Arial" w:hAnsi="Arial" w:cs="Arial"/>
                <w:lang w:eastAsia="ko-KR"/>
              </w:rPr>
              <w:t>cg-RetransmissionTimer</w:t>
            </w:r>
            <w:r>
              <w:rPr>
                <w:rFonts w:ascii="Arial" w:hAnsi="Arial" w:cs="Arial"/>
              </w:rPr>
              <w:t xml:space="preserve"> and if the PHR is already included in a MAC PDU for transmission by this HARQ process, but not yet transmitted by lower layers, it is up to UE implementation how to handle the PHR content.</w:t>
            </w:r>
          </w:p>
        </w:tc>
      </w:tr>
    </w:tbl>
    <w:p>
      <w:pPr>
        <w:numPr>
          <w:ilvl w:val="0"/>
          <w:numId w:val="0"/>
        </w:numPr>
        <w:spacing w:before="120" w:beforeLines="50" w:after="120"/>
        <w:ind w:leftChars="0"/>
        <w:jc w:val="both"/>
        <w:rPr>
          <w:rFonts w:hint="eastAsia" w:ascii="Times New Roman" w:hAnsi="Times New Roman" w:eastAsia="Times New Roman" w:cs="Times New Roman"/>
          <w:b w:val="0"/>
          <w:bCs/>
          <w:sz w:val="22"/>
          <w:szCs w:val="22"/>
          <w:lang w:val="en-US" w:eastAsia="zh-CN"/>
        </w:rPr>
      </w:pPr>
      <w:r>
        <w:rPr>
          <w:rFonts w:hint="eastAsia" w:ascii="Times New Roman" w:hAnsi="Times New Roman"/>
          <w:b w:val="0"/>
          <w:bCs/>
          <w:sz w:val="22"/>
          <w:szCs w:val="22"/>
          <w:lang w:val="en-US" w:eastAsia="zh-CN"/>
        </w:rPr>
        <w:t xml:space="preserve">The timer </w:t>
      </w:r>
      <w:r>
        <w:rPr>
          <w:i/>
          <w:sz w:val="22"/>
          <w:szCs w:val="22"/>
          <w:lang w:eastAsia="ko-KR"/>
        </w:rPr>
        <w:t>phr-ProhibitTimer</w:t>
      </w:r>
      <w:r>
        <w:rPr>
          <w:rFonts w:hint="eastAsia" w:ascii="Times New Roman" w:hAnsi="Times New Roman" w:eastAsia="Times New Roman" w:cs="Times New Roman"/>
          <w:b w:val="0"/>
          <w:bCs/>
          <w:sz w:val="22"/>
          <w:szCs w:val="22"/>
          <w:lang w:val="en-US" w:eastAsia="zh-CN"/>
        </w:rPr>
        <w:t xml:space="preserve"> is configured by RRC in the following IE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pStyle w:val="64"/>
              <w:spacing w:after="0" w:line="240" w:lineRule="auto"/>
            </w:pPr>
            <w:r>
              <w:t xml:space="preserve">PHR-Config ::=                      </w:t>
            </w:r>
            <w:r>
              <w:rPr>
                <w:color w:val="993366"/>
              </w:rPr>
              <w:t>SEQUENCE</w:t>
            </w:r>
            <w:r>
              <w:t xml:space="preserve"> {</w:t>
            </w:r>
          </w:p>
          <w:p>
            <w:pPr>
              <w:pStyle w:val="64"/>
              <w:spacing w:after="0" w:line="240" w:lineRule="auto"/>
            </w:pPr>
            <w:r>
              <w:t xml:space="preserve">    phr-PeriodicTimer                   </w:t>
            </w:r>
            <w:r>
              <w:rPr>
                <w:color w:val="993366"/>
              </w:rPr>
              <w:t>ENUMERATED</w:t>
            </w:r>
            <w:r>
              <w:t xml:space="preserve"> {sf10, sf20, sf50, sf100, sf200,sf500, sf1000, infinity},</w:t>
            </w:r>
          </w:p>
          <w:p>
            <w:pPr>
              <w:pStyle w:val="64"/>
              <w:spacing w:after="0" w:line="240" w:lineRule="auto"/>
            </w:pPr>
            <w:r>
              <w:t xml:space="preserve">    phr-ProhibitTimer                   </w:t>
            </w:r>
            <w:r>
              <w:rPr>
                <w:color w:val="993366"/>
              </w:rPr>
              <w:t>ENUMERATED</w:t>
            </w:r>
            <w:r>
              <w:t xml:space="preserve"> {sf0, sf10, sf20, sf50, sf100,sf200, sf500, sf1000},</w:t>
            </w:r>
          </w:p>
          <w:p>
            <w:pPr>
              <w:pStyle w:val="64"/>
              <w:spacing w:after="0" w:line="240" w:lineRule="auto"/>
            </w:pPr>
            <w:r>
              <w:t xml:space="preserve">    phr-Tx-PowerFactorChange            </w:t>
            </w:r>
            <w:r>
              <w:rPr>
                <w:color w:val="993366"/>
              </w:rPr>
              <w:t>ENUMERATED</w:t>
            </w:r>
            <w:r>
              <w:t xml:space="preserve"> {dB1, dB3, dB6, infinity},</w:t>
            </w:r>
          </w:p>
          <w:p>
            <w:pPr>
              <w:pStyle w:val="64"/>
              <w:spacing w:after="0" w:line="240" w:lineRule="auto"/>
            </w:pPr>
            <w:r>
              <w:t xml:space="preserve">    multiplePHR                         </w:t>
            </w:r>
            <w:r>
              <w:rPr>
                <w:color w:val="993366"/>
              </w:rPr>
              <w:t>BOOLEAN</w:t>
            </w:r>
            <w:r>
              <w:t>,</w:t>
            </w:r>
          </w:p>
          <w:p>
            <w:pPr>
              <w:pStyle w:val="64"/>
              <w:spacing w:after="0" w:line="240" w:lineRule="auto"/>
            </w:pPr>
            <w:r>
              <w:t xml:space="preserve">    dummy                               </w:t>
            </w:r>
            <w:r>
              <w:rPr>
                <w:color w:val="993366"/>
              </w:rPr>
              <w:t>BOOLEAN</w:t>
            </w:r>
            <w:r>
              <w:t>,</w:t>
            </w:r>
          </w:p>
          <w:p>
            <w:pPr>
              <w:pStyle w:val="64"/>
              <w:spacing w:after="0" w:line="240" w:lineRule="auto"/>
            </w:pPr>
            <w:r>
              <w:t xml:space="preserve">    phr-Type2OtherCell                  </w:t>
            </w:r>
            <w:r>
              <w:rPr>
                <w:color w:val="993366"/>
              </w:rPr>
              <w:t>BOOLEAN</w:t>
            </w:r>
            <w:r>
              <w:t>,</w:t>
            </w:r>
          </w:p>
          <w:p>
            <w:pPr>
              <w:pStyle w:val="64"/>
              <w:spacing w:after="0" w:line="240" w:lineRule="auto"/>
            </w:pPr>
            <w:r>
              <w:t xml:space="preserve">    phr-ModeOtherCG                     </w:t>
            </w:r>
            <w:r>
              <w:rPr>
                <w:color w:val="993366"/>
              </w:rPr>
              <w:t>ENUMERATED</w:t>
            </w:r>
            <w:r>
              <w:t xml:space="preserve"> {real, virtual},</w:t>
            </w:r>
          </w:p>
          <w:p>
            <w:pPr>
              <w:pStyle w:val="64"/>
              <w:spacing w:after="0" w:line="240" w:lineRule="auto"/>
            </w:pPr>
            <w:r>
              <w:t xml:space="preserve">    ...</w:t>
            </w:r>
          </w:p>
          <w:p>
            <w:pPr>
              <w:numPr>
                <w:ilvl w:val="0"/>
                <w:numId w:val="0"/>
              </w:numPr>
              <w:spacing w:before="120" w:beforeLines="50" w:after="120"/>
              <w:jc w:val="both"/>
              <w:rPr>
                <w:rFonts w:hint="default" w:ascii="Times New Roman" w:hAnsi="Times New Roman" w:eastAsia="Times New Roman" w:cs="Times New Roman"/>
                <w:b w:val="0"/>
                <w:bCs/>
                <w:sz w:val="20"/>
                <w:vertAlign w:val="baseline"/>
                <w:lang w:val="en-US" w:eastAsia="zh-CN"/>
              </w:rPr>
            </w:pPr>
            <w:r>
              <w:rPr>
                <w:rFonts w:ascii="Courier New" w:hAnsi="Courier New" w:eastAsia="Times New Roman" w:cs="Arial"/>
                <w:color w:val="0000FF"/>
                <w:kern w:val="2"/>
                <w:sz w:val="16"/>
                <w:lang w:val="en-GB" w:eastAsia="en-US" w:bidi="ar-SA"/>
              </w:rPr>
              <w:t>}</w:t>
            </w:r>
          </w:p>
        </w:tc>
      </w:tr>
    </w:tbl>
    <w:p>
      <w:pPr>
        <w:numPr>
          <w:ilvl w:val="0"/>
          <w:numId w:val="0"/>
        </w:numPr>
        <w:spacing w:before="120" w:beforeLines="50" w:after="120"/>
        <w:ind w:leftChars="0"/>
        <w:jc w:val="both"/>
        <w:rPr>
          <w:rFonts w:hint="eastAsia" w:ascii="Times New Roman" w:hAnsi="Times New Roman" w:eastAsia="Times New Roman" w:cs="Times New Roman"/>
          <w:b w:val="0"/>
          <w:bCs/>
          <w:sz w:val="22"/>
          <w:szCs w:val="22"/>
          <w:lang w:val="en-US" w:eastAsia="zh-CN"/>
        </w:rPr>
      </w:pPr>
      <w:r>
        <w:rPr>
          <w:rFonts w:hint="eastAsia" w:ascii="Times New Roman" w:hAnsi="Times New Roman" w:eastAsia="Times New Roman" w:cs="Times New Roman"/>
          <w:b w:val="0"/>
          <w:bCs/>
          <w:sz w:val="22"/>
          <w:szCs w:val="22"/>
          <w:lang w:val="en-US" w:eastAsia="zh-CN"/>
        </w:rPr>
        <w:t>Where sf0 indicating 0 subframe, sf10 indicating 10 subframes and so on [3].</w:t>
      </w:r>
    </w:p>
    <w:p>
      <w:pPr>
        <w:numPr>
          <w:ilvl w:val="0"/>
          <w:numId w:val="0"/>
        </w:numPr>
        <w:spacing w:before="120" w:beforeLines="50" w:after="120"/>
        <w:ind w:leftChars="0"/>
        <w:jc w:val="both"/>
        <w:rPr>
          <w:rFonts w:hint="eastAsia" w:ascii="Times New Roman" w:hAnsi="Times New Roman" w:eastAsia="Times New Roman" w:cs="Times New Roman"/>
          <w:b w:val="0"/>
          <w:bCs/>
          <w:sz w:val="22"/>
          <w:szCs w:val="22"/>
          <w:lang w:val="en-US" w:eastAsia="zh-CN"/>
        </w:rPr>
      </w:pPr>
      <w:r>
        <w:rPr>
          <w:rFonts w:hint="eastAsia" w:ascii="Times New Roman" w:hAnsi="Times New Roman" w:eastAsia="Times New Roman" w:cs="Times New Roman"/>
          <w:b w:val="0"/>
          <w:bCs/>
          <w:sz w:val="22"/>
          <w:szCs w:val="22"/>
          <w:lang w:val="en-US" w:eastAsia="zh-CN"/>
        </w:rPr>
        <w:t>To better test the functionality of this feature, we propose in the companion draft CR the following key test parameters:</w:t>
      </w:r>
    </w:p>
    <w:tbl>
      <w:tblPr>
        <w:tblStyle w:val="17"/>
        <w:tblW w:w="33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7"/>
        <w:gridCol w:w="784"/>
        <w:gridCol w:w="2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696" w:type="pct"/>
            <w:noWrap w:val="0"/>
            <w:vAlign w:val="top"/>
          </w:tcPr>
          <w:p>
            <w:pPr>
              <w:pStyle w:val="47"/>
            </w:pPr>
            <w:r>
              <w:rPr>
                <w:i/>
                <w:lang w:eastAsia="ko-KR"/>
              </w:rPr>
              <w:t>phr-ProhibitTimer</w:t>
            </w:r>
          </w:p>
        </w:tc>
        <w:tc>
          <w:tcPr>
            <w:tcW w:w="595" w:type="pct"/>
            <w:noWrap w:val="0"/>
            <w:vAlign w:val="top"/>
          </w:tcPr>
          <w:p>
            <w:pPr>
              <w:pStyle w:val="69"/>
            </w:pPr>
            <w:r>
              <w:rPr>
                <w:rFonts w:hint="eastAsia" w:eastAsia="宋体"/>
                <w:lang w:val="en-US" w:eastAsia="zh-CN"/>
              </w:rPr>
              <w:t>sub frame</w:t>
            </w:r>
          </w:p>
        </w:tc>
        <w:tc>
          <w:tcPr>
            <w:tcW w:w="1707" w:type="pct"/>
            <w:noWrap w:val="0"/>
            <w:vAlign w:val="top"/>
          </w:tcPr>
          <w:p>
            <w:pPr>
              <w:pStyle w:val="69"/>
              <w:rPr>
                <w:rFonts w:hint="eastAsia" w:eastAsia="宋体"/>
                <w:i w:val="0"/>
                <w:iCs w:val="0"/>
                <w:lang w:val="en-US" w:eastAsia="zh-CN"/>
              </w:rPr>
            </w:pPr>
            <w:r>
              <w:rPr>
                <w:rFonts w:hint="eastAsia" w:eastAsia="宋体"/>
                <w:i w:val="0"/>
                <w:iCs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696" w:type="pct"/>
            <w:noWrap w:val="0"/>
            <w:vAlign w:val="top"/>
          </w:tcPr>
          <w:p>
            <w:pPr>
              <w:pStyle w:val="47"/>
            </w:pPr>
            <w:r>
              <w:rPr>
                <w:rFonts w:hint="eastAsia"/>
                <w:i/>
                <w:iCs/>
              </w:rPr>
              <w:t>phr-Tx-PowerFactorChange</w:t>
            </w:r>
          </w:p>
        </w:tc>
        <w:tc>
          <w:tcPr>
            <w:tcW w:w="595" w:type="pct"/>
            <w:noWrap w:val="0"/>
            <w:vAlign w:val="top"/>
          </w:tcPr>
          <w:p>
            <w:pPr>
              <w:pStyle w:val="69"/>
              <w:rPr>
                <w:rFonts w:hint="default" w:eastAsia="宋体"/>
                <w:lang w:val="en-US" w:eastAsia="zh-CN"/>
              </w:rPr>
            </w:pPr>
            <w:r>
              <w:rPr>
                <w:rFonts w:hint="eastAsia" w:eastAsia="宋体"/>
                <w:lang w:val="en-US" w:eastAsia="zh-CN"/>
              </w:rPr>
              <w:t>dB</w:t>
            </w:r>
          </w:p>
        </w:tc>
        <w:tc>
          <w:tcPr>
            <w:tcW w:w="1707" w:type="pct"/>
            <w:noWrap w:val="0"/>
            <w:vAlign w:val="top"/>
          </w:tcPr>
          <w:p>
            <w:pPr>
              <w:pStyle w:val="69"/>
              <w:rPr>
                <w:rFonts w:hint="eastAsia" w:eastAsia="宋体"/>
                <w:i w:val="0"/>
                <w:iCs w:val="0"/>
                <w:lang w:val="en-US" w:eastAsia="zh-CN"/>
              </w:rPr>
            </w:pPr>
            <w:r>
              <w:rPr>
                <w:rFonts w:hint="eastAsia" w:eastAsia="宋体"/>
                <w:i w:val="0"/>
                <w:iCs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696" w:type="pct"/>
            <w:noWrap w:val="0"/>
            <w:vAlign w:val="top"/>
          </w:tcPr>
          <w:p>
            <w:pPr>
              <w:pStyle w:val="47"/>
            </w:pPr>
            <w:r>
              <w:rPr>
                <w:i/>
                <w:iCs/>
              </w:rPr>
              <w:t>phr-PeriodicTimer</w:t>
            </w:r>
          </w:p>
        </w:tc>
        <w:tc>
          <w:tcPr>
            <w:tcW w:w="595" w:type="pct"/>
            <w:noWrap w:val="0"/>
            <w:vAlign w:val="top"/>
          </w:tcPr>
          <w:p>
            <w:pPr>
              <w:pStyle w:val="69"/>
            </w:pPr>
            <w:r>
              <w:rPr>
                <w:rFonts w:hint="eastAsia" w:eastAsia="宋体"/>
                <w:lang w:val="en-US" w:eastAsia="zh-CN"/>
              </w:rPr>
              <w:t>sub frame</w:t>
            </w:r>
          </w:p>
        </w:tc>
        <w:tc>
          <w:tcPr>
            <w:tcW w:w="1707" w:type="pct"/>
            <w:noWrap w:val="0"/>
            <w:vAlign w:val="top"/>
          </w:tcPr>
          <w:p>
            <w:pPr>
              <w:pStyle w:val="69"/>
              <w:rPr>
                <w:rFonts w:hint="default" w:eastAsia="宋体"/>
                <w:i w:val="0"/>
                <w:iCs w:val="0"/>
                <w:lang w:val="en-US" w:eastAsia="zh-CN"/>
              </w:rPr>
            </w:pPr>
            <w:r>
              <w:rPr>
                <w:rFonts w:hint="eastAsia" w:eastAsia="宋体"/>
                <w:i w:val="0"/>
                <w:iCs w:val="0"/>
                <w:lang w:val="en-US"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696" w:type="pct"/>
            <w:noWrap w:val="0"/>
            <w:vAlign w:val="top"/>
          </w:tcPr>
          <w:p>
            <w:pPr>
              <w:pStyle w:val="47"/>
              <w:rPr>
                <w:rFonts w:hint="default" w:eastAsia="宋体"/>
                <w:i w:val="0"/>
                <w:iCs w:val="0"/>
                <w:lang w:val="en-US" w:eastAsia="zh-CN"/>
              </w:rPr>
            </w:pPr>
            <w:r>
              <w:rPr>
                <w:rFonts w:hint="eastAsia" w:eastAsia="宋体"/>
                <w:i w:val="0"/>
                <w:iCs w:val="0"/>
                <w:lang w:val="en-US" w:eastAsia="zh-CN"/>
              </w:rPr>
              <w:t>T1</w:t>
            </w:r>
          </w:p>
        </w:tc>
        <w:tc>
          <w:tcPr>
            <w:tcW w:w="595" w:type="pct"/>
            <w:noWrap w:val="0"/>
            <w:vAlign w:val="top"/>
          </w:tcPr>
          <w:p>
            <w:pPr>
              <w:pStyle w:val="69"/>
              <w:rPr>
                <w:rFonts w:hint="default" w:eastAsia="宋体"/>
                <w:lang w:val="en-US" w:eastAsia="zh-CN"/>
              </w:rPr>
            </w:pPr>
            <w:r>
              <w:rPr>
                <w:rFonts w:hint="eastAsia" w:eastAsia="宋体"/>
                <w:lang w:val="en-US" w:eastAsia="zh-CN"/>
              </w:rPr>
              <w:t>s</w:t>
            </w:r>
          </w:p>
        </w:tc>
        <w:tc>
          <w:tcPr>
            <w:tcW w:w="1707" w:type="pct"/>
            <w:noWrap w:val="0"/>
            <w:vAlign w:val="top"/>
          </w:tcPr>
          <w:p>
            <w:pPr>
              <w:pStyle w:val="69"/>
              <w:rPr>
                <w:rFonts w:hint="default" w:eastAsia="宋体"/>
                <w:i w:val="0"/>
                <w:iCs w:val="0"/>
                <w:lang w:val="en-US" w:eastAsia="zh-CN"/>
              </w:rPr>
            </w:pPr>
            <w:r>
              <w:rPr>
                <w:rFonts w:hint="eastAsia" w:eastAsia="宋体"/>
                <w:i w:val="0"/>
                <w:iCs w:val="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696" w:type="pct"/>
            <w:noWrap w:val="0"/>
            <w:vAlign w:val="top"/>
          </w:tcPr>
          <w:p>
            <w:pPr>
              <w:pStyle w:val="47"/>
              <w:rPr>
                <w:rFonts w:hint="default" w:eastAsia="宋体"/>
                <w:i w:val="0"/>
                <w:iCs w:val="0"/>
                <w:lang w:val="en-US" w:eastAsia="zh-CN"/>
              </w:rPr>
            </w:pPr>
            <w:r>
              <w:rPr>
                <w:rFonts w:hint="eastAsia" w:eastAsia="宋体"/>
                <w:i w:val="0"/>
                <w:iCs w:val="0"/>
                <w:lang w:val="en-US" w:eastAsia="zh-CN"/>
              </w:rPr>
              <w:t>T2</w:t>
            </w:r>
          </w:p>
        </w:tc>
        <w:tc>
          <w:tcPr>
            <w:tcW w:w="595" w:type="pct"/>
            <w:noWrap w:val="0"/>
            <w:vAlign w:val="top"/>
          </w:tcPr>
          <w:p>
            <w:pPr>
              <w:pStyle w:val="69"/>
              <w:rPr>
                <w:rFonts w:hint="default" w:eastAsia="宋体"/>
                <w:lang w:val="en-US" w:eastAsia="zh-CN"/>
              </w:rPr>
            </w:pPr>
            <w:r>
              <w:rPr>
                <w:rFonts w:hint="eastAsia" w:eastAsia="宋体"/>
                <w:lang w:val="en-US" w:eastAsia="zh-CN"/>
              </w:rPr>
              <w:t>s</w:t>
            </w:r>
          </w:p>
        </w:tc>
        <w:tc>
          <w:tcPr>
            <w:tcW w:w="1707" w:type="pct"/>
            <w:noWrap w:val="0"/>
            <w:vAlign w:val="top"/>
          </w:tcPr>
          <w:p>
            <w:pPr>
              <w:pStyle w:val="69"/>
              <w:rPr>
                <w:rFonts w:hint="default" w:eastAsia="宋体"/>
                <w:i w:val="0"/>
                <w:iCs w:val="0"/>
                <w:lang w:val="en-US" w:eastAsia="zh-CN"/>
              </w:rPr>
            </w:pPr>
            <w:r>
              <w:rPr>
                <w:rFonts w:hint="eastAsia" w:eastAsia="宋体"/>
                <w:i w:val="0"/>
                <w:iCs w:val="0"/>
                <w:lang w:val="en-US" w:eastAsia="zh-CN"/>
              </w:rPr>
              <w:t>0.2</w:t>
            </w:r>
          </w:p>
        </w:tc>
      </w:tr>
    </w:tbl>
    <w:p>
      <w:pPr>
        <w:numPr>
          <w:ilvl w:val="0"/>
          <w:numId w:val="0"/>
        </w:numPr>
        <w:spacing w:before="120" w:beforeLines="50" w:after="120"/>
        <w:ind w:leftChars="0"/>
        <w:jc w:val="both"/>
        <w:rPr>
          <w:rFonts w:hint="default" w:ascii="Times New Roman" w:hAnsi="Times New Roman" w:eastAsia="宋体" w:cs="Times New Roman"/>
          <w:b w:val="0"/>
          <w:bCs/>
          <w:sz w:val="22"/>
          <w:szCs w:val="22"/>
          <w:lang w:val="en-US" w:eastAsia="zh-CN"/>
        </w:rPr>
      </w:pPr>
      <w:r>
        <w:rPr>
          <w:i/>
          <w:sz w:val="22"/>
          <w:szCs w:val="22"/>
          <w:lang w:eastAsia="ko-KR"/>
        </w:rPr>
        <w:t>phr-ProhibitTimer</w:t>
      </w:r>
      <w:r>
        <w:rPr>
          <w:rFonts w:hint="eastAsia" w:ascii="Times New Roman" w:hAnsi="Times New Roman" w:eastAsia="Times New Roman" w:cs="Times New Roman"/>
          <w:b w:val="0"/>
          <w:bCs/>
          <w:sz w:val="22"/>
          <w:szCs w:val="22"/>
          <w:lang w:val="en-US" w:eastAsia="zh-CN"/>
        </w:rPr>
        <w:t xml:space="preserve"> is set to 0 so that any change of the PL RS would trigger the UE to send a PHR. Setting </w:t>
      </w:r>
      <w:r>
        <w:rPr>
          <w:i/>
          <w:iCs/>
          <w:sz w:val="22"/>
          <w:szCs w:val="22"/>
        </w:rPr>
        <w:t>phr-PeriodicTimer</w:t>
      </w:r>
      <w:r>
        <w:rPr>
          <w:rFonts w:hint="eastAsia" w:ascii="Times New Roman" w:hAnsi="Times New Roman" w:eastAsia="Times New Roman" w:cs="Times New Roman"/>
          <w:b w:val="0"/>
          <w:bCs/>
          <w:sz w:val="22"/>
          <w:szCs w:val="22"/>
          <w:lang w:val="en-US" w:eastAsia="zh-CN"/>
        </w:rPr>
        <w:t xml:space="preserve"> to infinity would ensure that the UE would only be triggered to send PHR when PL RS switching occurs. Having </w:t>
      </w:r>
      <w:r>
        <w:rPr>
          <w:rFonts w:hint="eastAsia"/>
          <w:i/>
          <w:iCs/>
          <w:sz w:val="22"/>
          <w:szCs w:val="22"/>
        </w:rPr>
        <w:t>phr-Tx-PowerFactorChange</w:t>
      </w:r>
      <w:r>
        <w:rPr>
          <w:rFonts w:hint="eastAsia" w:ascii="Times New Roman" w:hAnsi="Times New Roman" w:eastAsia="Times New Roman" w:cs="Times New Roman"/>
          <w:b w:val="0"/>
          <w:bCs/>
          <w:sz w:val="22"/>
          <w:szCs w:val="22"/>
          <w:lang w:val="en-US" w:eastAsia="zh-CN"/>
        </w:rPr>
        <w:t xml:space="preserve"> = 3 dB ensures the accuracy of the UE implementation. In the test, the power of the two PL RS differs each other for 10 dB to give sufficient margin from 3 dB.</w:t>
      </w:r>
    </w:p>
    <w:p>
      <w:pPr>
        <w:rPr>
          <w:rFonts w:hint="eastAsia"/>
          <w:b w:val="0"/>
          <w:bCs/>
          <w:sz w:val="22"/>
          <w:szCs w:val="22"/>
          <w:lang w:val="en-US" w:eastAsia="zh-CN"/>
        </w:rPr>
      </w:pPr>
    </w:p>
    <w:p>
      <w:pPr>
        <w:rPr>
          <w:rFonts w:hint="eastAsia"/>
          <w:b w:val="0"/>
          <w:bCs/>
          <w:sz w:val="22"/>
          <w:szCs w:val="22"/>
          <w:lang w:val="en-US" w:eastAsia="zh-CN"/>
        </w:rPr>
      </w:pPr>
      <w:r>
        <w:rPr>
          <w:rFonts w:hint="eastAsia"/>
          <w:b w:val="0"/>
          <w:bCs/>
          <w:sz w:val="22"/>
          <w:szCs w:val="22"/>
          <w:lang w:val="en-US" w:eastAsia="zh-CN"/>
        </w:rPr>
        <w:t>During the last RAN4 meeting, the issue of L2 filtering was raised. In TS 38.213 [4], it states that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default"/>
                <w:b w:val="0"/>
                <w:bCs/>
                <w:sz w:val="22"/>
                <w:szCs w:val="22"/>
                <w:vertAlign w:val="baseline"/>
                <w:lang w:val="en-US" w:eastAsia="zh-CN"/>
              </w:rPr>
            </w:pPr>
            <w:r>
              <w:rPr>
                <w:position w:val="-12"/>
              </w:rPr>
              <w:drawing>
                <wp:inline distT="0" distB="0" distL="114300" distR="114300">
                  <wp:extent cx="638175" cy="209550"/>
                  <wp:effectExtent l="0" t="0" r="952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638175" cy="209550"/>
                          </a:xfrm>
                          <a:prstGeom prst="rect">
                            <a:avLst/>
                          </a:prstGeom>
                          <a:noFill/>
                          <a:ln>
                            <a:noFill/>
                          </a:ln>
                        </pic:spPr>
                      </pic:pic>
                    </a:graphicData>
                  </a:graphic>
                </wp:inline>
              </w:drawing>
            </w:r>
            <w:r>
              <w:rPr>
                <w:rFonts w:eastAsia="MS Mincho"/>
              </w:rPr>
              <w:t xml:space="preserve">= </w:t>
            </w:r>
            <w:r>
              <w:rPr>
                <w:rFonts w:eastAsia="MS Mincho"/>
                <w:i/>
              </w:rPr>
              <w:t>referenceSignalPower</w:t>
            </w:r>
            <w:r>
              <w:rPr>
                <w:rFonts w:eastAsia="MS Mincho"/>
              </w:rPr>
              <w:t xml:space="preserve"> – higher layer filtered RSRP, where </w:t>
            </w:r>
            <w:r>
              <w:rPr>
                <w:rFonts w:eastAsia="MS Mincho"/>
                <w:i/>
              </w:rPr>
              <w:t>referenceSignalPower</w:t>
            </w:r>
            <w:r>
              <w:rPr>
                <w:rFonts w:eastAsia="MS Mincho"/>
              </w:rPr>
              <w:t xml:space="preserve"> is provided by higher layers and RSRP is defined in </w:t>
            </w:r>
            <w:r>
              <w:t>[</w:t>
            </w:r>
            <w:r>
              <w:rPr>
                <w:lang w:val="en-US"/>
              </w:rPr>
              <w:t>7</w:t>
            </w:r>
            <w:r>
              <w:t>, TS 38.21</w:t>
            </w:r>
            <w:r>
              <w:rPr>
                <w:lang w:val="en-US"/>
              </w:rPr>
              <w:t>5</w:t>
            </w:r>
            <w:r>
              <w:t>]</w:t>
            </w:r>
            <w:r>
              <w:rPr>
                <w:rFonts w:eastAsia="MS Mincho"/>
              </w:rPr>
              <w:t xml:space="preserve"> for the reference serving cell and the higher layer filter configuration</w:t>
            </w:r>
            <w:r>
              <w:rPr>
                <w:rFonts w:eastAsia="MS Mincho"/>
                <w:lang w:val="en-US"/>
              </w:rPr>
              <w:t xml:space="preserve"> </w:t>
            </w:r>
            <w:r>
              <w:t xml:space="preserve">provided by </w:t>
            </w:r>
            <w:r>
              <w:rPr>
                <w:i/>
              </w:rPr>
              <w:t>QuantityConfig</w:t>
            </w:r>
            <w:r>
              <w:rPr>
                <w:rFonts w:eastAsia="MS Mincho"/>
              </w:rPr>
              <w:t xml:space="preserve"> is defined in </w:t>
            </w:r>
            <w:r>
              <w:t>[</w:t>
            </w:r>
            <w:r>
              <w:rPr>
                <w:lang w:val="en-US"/>
              </w:rPr>
              <w:t>12</w:t>
            </w:r>
            <w:r>
              <w:t>, TS 38.</w:t>
            </w:r>
            <w:r>
              <w:rPr>
                <w:lang w:val="en-US"/>
              </w:rPr>
              <w:t>331</w:t>
            </w:r>
            <w:r>
              <w:t>]</w:t>
            </w:r>
            <w:r>
              <w:rPr>
                <w:lang w:val="en-US"/>
              </w:rPr>
              <w:t xml:space="preserve"> </w:t>
            </w:r>
            <w:r>
              <w:rPr>
                <w:rFonts w:eastAsia="MS Mincho"/>
              </w:rPr>
              <w:t>for the reference serving cell</w:t>
            </w:r>
          </w:p>
        </w:tc>
      </w:tr>
    </w:tbl>
    <w:p>
      <w:pPr>
        <w:rPr>
          <w:rFonts w:hint="default"/>
          <w:b w:val="0"/>
          <w:bCs/>
          <w:sz w:val="22"/>
          <w:szCs w:val="22"/>
          <w:lang w:val="en-US" w:eastAsia="zh-CN"/>
        </w:rPr>
      </w:pPr>
      <w:r>
        <w:rPr>
          <w:rFonts w:hint="eastAsia"/>
          <w:b w:val="0"/>
          <w:bCs/>
          <w:sz w:val="22"/>
          <w:szCs w:val="22"/>
          <w:lang w:val="en-US" w:eastAsia="zh-CN"/>
        </w:rPr>
        <w:t xml:space="preserve">where it clearly says that the L3 filtering configuration is up to the parameter </w:t>
      </w:r>
      <w:r>
        <w:rPr>
          <w:i/>
        </w:rPr>
        <w:t>QuantityConfig</w:t>
      </w:r>
      <w:r>
        <w:rPr>
          <w:rFonts w:hint="eastAsia"/>
          <w:b w:val="0"/>
          <w:bCs/>
          <w:sz w:val="22"/>
          <w:szCs w:val="22"/>
          <w:lang w:val="en-US" w:eastAsia="zh-CN"/>
        </w:rPr>
        <w:t xml:space="preserve">. </w:t>
      </w:r>
      <w:r>
        <w:rPr>
          <w:i/>
        </w:rPr>
        <w:t>QuantityConfig</w:t>
      </w:r>
      <w:r>
        <w:rPr>
          <w:rFonts w:hint="eastAsia" w:eastAsia="宋体"/>
          <w:i/>
          <w:lang w:val="en-US" w:eastAsia="zh-CN"/>
        </w:rPr>
        <w:t xml:space="preserve"> i</w:t>
      </w:r>
      <w:r>
        <w:rPr>
          <w:rFonts w:hint="eastAsia"/>
          <w:b w:val="0"/>
          <w:bCs/>
          <w:sz w:val="22"/>
          <w:szCs w:val="22"/>
          <w:lang w:val="en-US" w:eastAsia="zh-CN"/>
        </w:rPr>
        <w:t>s defined in TS 38.331 [3] with the definition of this IE shown below.</w:t>
      </w:r>
    </w:p>
    <w:p>
      <w:pPr>
        <w:pStyle w:val="5"/>
        <w:rPr>
          <w:rFonts w:eastAsia="MS Mincho"/>
          <w:i/>
        </w:rPr>
      </w:pPr>
      <w:bookmarkStart w:id="4" w:name="_Toc76423617"/>
      <w:bookmarkStart w:id="5" w:name="_Toc60777331"/>
      <w:r>
        <w:rPr>
          <w:rFonts w:eastAsia="MS Mincho"/>
        </w:rPr>
        <w:t>–</w:t>
      </w:r>
      <w:r>
        <w:rPr>
          <w:rFonts w:eastAsia="MS Mincho"/>
        </w:rPr>
        <w:tab/>
      </w:r>
      <w:r>
        <w:rPr>
          <w:rFonts w:eastAsia="MS Mincho"/>
          <w:i/>
        </w:rPr>
        <w:t>QuantityConfig</w:t>
      </w:r>
      <w:bookmarkEnd w:id="4"/>
      <w:bookmarkEnd w:id="5"/>
    </w:p>
    <w:p>
      <w:pPr>
        <w:rPr>
          <w:rFonts w:eastAsia="MS Mincho"/>
        </w:rPr>
      </w:pPr>
      <w:r>
        <w:t xml:space="preserve">The IE </w:t>
      </w:r>
      <w:r>
        <w:rPr>
          <w:i/>
        </w:rPr>
        <w:t>QuantityConfig</w:t>
      </w:r>
      <w:r>
        <w:t xml:space="preserve"> specifies the measurement quantities and layer 3 filtering coefficients for NR and inter-RAT measurements.</w:t>
      </w:r>
    </w:p>
    <w:p>
      <w:pPr>
        <w:pStyle w:val="62"/>
      </w:pPr>
      <w:r>
        <w:t>QuantityConfig information element</w:t>
      </w:r>
    </w:p>
    <w:p>
      <w:pPr>
        <w:pStyle w:val="64"/>
        <w:rPr>
          <w:color w:val="808080"/>
        </w:rPr>
      </w:pPr>
      <w:r>
        <w:rPr>
          <w:color w:val="808080"/>
        </w:rPr>
        <w:t>-- ASN1START</w:t>
      </w:r>
    </w:p>
    <w:p>
      <w:pPr>
        <w:pStyle w:val="64"/>
        <w:rPr>
          <w:color w:val="808080"/>
        </w:rPr>
      </w:pPr>
      <w:r>
        <w:rPr>
          <w:color w:val="808080"/>
        </w:rPr>
        <w:t>-- TAG-QUANTITYCONFIG-START</w:t>
      </w:r>
    </w:p>
    <w:p>
      <w:pPr>
        <w:pStyle w:val="64"/>
      </w:pPr>
    </w:p>
    <w:p>
      <w:pPr>
        <w:pStyle w:val="64"/>
      </w:pPr>
    </w:p>
    <w:p>
      <w:pPr>
        <w:pStyle w:val="64"/>
      </w:pPr>
      <w:r>
        <w:t xml:space="preserve">QuantityConfig ::=                  </w:t>
      </w:r>
      <w:r>
        <w:rPr>
          <w:color w:val="993366"/>
        </w:rPr>
        <w:t>SEQUENCE</w:t>
      </w:r>
      <w:r>
        <w:t xml:space="preserve"> {</w:t>
      </w:r>
    </w:p>
    <w:p>
      <w:pPr>
        <w:pStyle w:val="64"/>
        <w:rPr>
          <w:color w:val="808080"/>
        </w:rPr>
      </w:pPr>
      <w:r>
        <w:t xml:space="preserve">    quantityConfigNR-List               </w:t>
      </w:r>
      <w:r>
        <w:rPr>
          <w:color w:val="993366"/>
        </w:rPr>
        <w:t>SEQUENCE</w:t>
      </w:r>
      <w:r>
        <w:t xml:space="preserve"> (</w:t>
      </w:r>
      <w:r>
        <w:rPr>
          <w:color w:val="993366"/>
        </w:rPr>
        <w:t>SIZE</w:t>
      </w:r>
      <w:r>
        <w:t xml:space="preserve"> (1..maxNrofQuantityConfig))</w:t>
      </w:r>
      <w:r>
        <w:rPr>
          <w:color w:val="993366"/>
        </w:rPr>
        <w:t xml:space="preserve"> OF</w:t>
      </w:r>
      <w:r>
        <w:t xml:space="preserve"> QuantityConfigNR          </w:t>
      </w:r>
      <w:r>
        <w:rPr>
          <w:color w:val="993366"/>
        </w:rPr>
        <w:t>OPTIONAL</w:t>
      </w:r>
      <w:r>
        <w:t xml:space="preserve">,   </w:t>
      </w:r>
      <w:r>
        <w:rPr>
          <w:color w:val="808080"/>
        </w:rPr>
        <w:t>-- Need M</w:t>
      </w:r>
    </w:p>
    <w:p>
      <w:pPr>
        <w:pStyle w:val="64"/>
      </w:pPr>
      <w:r>
        <w:t xml:space="preserve">    ...,</w:t>
      </w:r>
    </w:p>
    <w:p>
      <w:pPr>
        <w:pStyle w:val="64"/>
      </w:pPr>
      <w:r>
        <w:t xml:space="preserve">    [[</w:t>
      </w:r>
    </w:p>
    <w:p>
      <w:pPr>
        <w:pStyle w:val="64"/>
        <w:rPr>
          <w:color w:val="808080"/>
        </w:rPr>
      </w:pPr>
      <w:r>
        <w:t xml:space="preserve">    quantityConfigEUTRA                 FilterConfig                                                            </w:t>
      </w:r>
      <w:r>
        <w:rPr>
          <w:color w:val="993366"/>
        </w:rPr>
        <w:t>OPTIONAL</w:t>
      </w:r>
      <w:r>
        <w:t xml:space="preserve">    </w:t>
      </w:r>
      <w:r>
        <w:rPr>
          <w:color w:val="808080"/>
        </w:rPr>
        <w:t>-- Need M</w:t>
      </w:r>
    </w:p>
    <w:p>
      <w:pPr>
        <w:pStyle w:val="64"/>
      </w:pPr>
      <w:r>
        <w:t xml:space="preserve">    ]],</w:t>
      </w:r>
    </w:p>
    <w:p>
      <w:pPr>
        <w:pStyle w:val="64"/>
      </w:pPr>
      <w:r>
        <w:t xml:space="preserve">    [[</w:t>
      </w:r>
    </w:p>
    <w:p>
      <w:pPr>
        <w:pStyle w:val="64"/>
        <w:rPr>
          <w:color w:val="808080"/>
        </w:rPr>
      </w:pPr>
      <w:r>
        <w:t xml:space="preserve">    quantityConfigUTRA-FDD-r16          QuantityConfigUTRA-FDD-r16                                              </w:t>
      </w:r>
      <w:r>
        <w:rPr>
          <w:color w:val="993366"/>
        </w:rPr>
        <w:t>OPTIONAL</w:t>
      </w:r>
      <w:r>
        <w:t xml:space="preserve">,   </w:t>
      </w:r>
      <w:r>
        <w:rPr>
          <w:color w:val="808080"/>
        </w:rPr>
        <w:t>-- Need M</w:t>
      </w:r>
    </w:p>
    <w:p>
      <w:pPr>
        <w:pStyle w:val="64"/>
        <w:rPr>
          <w:color w:val="808080"/>
        </w:rPr>
      </w:pPr>
      <w:r>
        <w:t xml:space="preserve">    quantityConfigCLI-r16               FilterConfigCLI-r16                                                     </w:t>
      </w:r>
      <w:r>
        <w:rPr>
          <w:color w:val="993366"/>
        </w:rPr>
        <w:t>OPTIONAL</w:t>
      </w:r>
      <w:r>
        <w:t xml:space="preserve">    </w:t>
      </w:r>
      <w:r>
        <w:rPr>
          <w:color w:val="808080"/>
        </w:rPr>
        <w:t>-- Need M</w:t>
      </w:r>
    </w:p>
    <w:p>
      <w:pPr>
        <w:pStyle w:val="64"/>
      </w:pPr>
      <w:r>
        <w:t xml:space="preserve">    </w:t>
      </w:r>
      <w:r>
        <w:rPr>
          <w:rFonts w:eastAsiaTheme="minorEastAsia"/>
        </w:rPr>
        <w:t>]]</w:t>
      </w:r>
    </w:p>
    <w:p>
      <w:pPr>
        <w:pStyle w:val="64"/>
      </w:pPr>
      <w:r>
        <w:t>}</w:t>
      </w:r>
    </w:p>
    <w:p>
      <w:pPr>
        <w:pStyle w:val="64"/>
      </w:pPr>
    </w:p>
    <w:p>
      <w:pPr>
        <w:pStyle w:val="64"/>
      </w:pPr>
      <w:r>
        <w:t xml:space="preserve">QuantityConfigNR::=                 </w:t>
      </w:r>
      <w:r>
        <w:rPr>
          <w:color w:val="993366"/>
        </w:rPr>
        <w:t>SEQUENCE</w:t>
      </w:r>
      <w:r>
        <w:t xml:space="preserve"> {</w:t>
      </w:r>
    </w:p>
    <w:p>
      <w:pPr>
        <w:pStyle w:val="64"/>
      </w:pPr>
      <w:r>
        <w:t xml:space="preserve">    quantityConfigCell                  QuantityConfigRS,</w:t>
      </w:r>
    </w:p>
    <w:p>
      <w:pPr>
        <w:pStyle w:val="64"/>
        <w:rPr>
          <w:color w:val="808080"/>
        </w:rPr>
      </w:pPr>
      <w:r>
        <w:t xml:space="preserve">    quantityConfigRS-Index              QuantityConfigRS                                                        </w:t>
      </w:r>
      <w:r>
        <w:rPr>
          <w:color w:val="993366"/>
        </w:rPr>
        <w:t>OPTIONAL</w:t>
      </w:r>
      <w:r>
        <w:t xml:space="preserve">    </w:t>
      </w:r>
      <w:r>
        <w:rPr>
          <w:color w:val="808080"/>
        </w:rPr>
        <w:t>-- Need M</w:t>
      </w:r>
    </w:p>
    <w:p>
      <w:pPr>
        <w:pStyle w:val="64"/>
      </w:pPr>
      <w:r>
        <w:t>}</w:t>
      </w:r>
    </w:p>
    <w:p>
      <w:pPr>
        <w:pStyle w:val="64"/>
      </w:pPr>
    </w:p>
    <w:p>
      <w:pPr>
        <w:pStyle w:val="64"/>
      </w:pPr>
      <w:r>
        <w:t xml:space="preserve">QuantityConfigRS ::=                </w:t>
      </w:r>
      <w:r>
        <w:rPr>
          <w:color w:val="993366"/>
        </w:rPr>
        <w:t>SEQUENCE</w:t>
      </w:r>
      <w:r>
        <w:t xml:space="preserve"> {</w:t>
      </w:r>
    </w:p>
    <w:p>
      <w:pPr>
        <w:pStyle w:val="64"/>
      </w:pPr>
      <w:r>
        <w:t xml:space="preserve">    ssb-FilterConfig                    FilterConfig,</w:t>
      </w:r>
    </w:p>
    <w:p>
      <w:pPr>
        <w:pStyle w:val="64"/>
      </w:pPr>
      <w:r>
        <w:t xml:space="preserve">    csi-RS-FilterConfig                 FilterConfig</w:t>
      </w:r>
    </w:p>
    <w:p>
      <w:pPr>
        <w:pStyle w:val="64"/>
      </w:pPr>
      <w:r>
        <w:t>}</w:t>
      </w:r>
    </w:p>
    <w:p>
      <w:pPr>
        <w:pStyle w:val="64"/>
      </w:pPr>
    </w:p>
    <w:p>
      <w:pPr>
        <w:pStyle w:val="64"/>
      </w:pPr>
      <w:r>
        <w:t xml:space="preserve">FilterConfig ::=                    </w:t>
      </w:r>
      <w:r>
        <w:rPr>
          <w:color w:val="993366"/>
        </w:rPr>
        <w:t>SEQUENCE</w:t>
      </w:r>
      <w:r>
        <w:t xml:space="preserve"> {</w:t>
      </w:r>
    </w:p>
    <w:p>
      <w:pPr>
        <w:pStyle w:val="64"/>
      </w:pPr>
      <w:r>
        <w:t xml:space="preserve">    filterCoefficientRSRP               FilterCoefficient                                       DEFAULT fc4,</w:t>
      </w:r>
    </w:p>
    <w:p>
      <w:pPr>
        <w:pStyle w:val="64"/>
      </w:pPr>
      <w:r>
        <w:t xml:space="preserve">    filterCoefficientRSRQ               FilterCoefficient                                       DEFAULT fc4,</w:t>
      </w:r>
    </w:p>
    <w:p>
      <w:pPr>
        <w:pStyle w:val="64"/>
      </w:pPr>
      <w:r>
        <w:t xml:space="preserve">    filterCoefficientRS-SINR            FilterCoefficient                                       DEFAULT fc4</w:t>
      </w:r>
    </w:p>
    <w:p>
      <w:pPr>
        <w:pStyle w:val="64"/>
      </w:pPr>
      <w:r>
        <w:t>}</w:t>
      </w:r>
    </w:p>
    <w:p>
      <w:pPr>
        <w:pStyle w:val="64"/>
      </w:pPr>
    </w:p>
    <w:p>
      <w:pPr>
        <w:pStyle w:val="64"/>
      </w:pPr>
      <w:r>
        <w:t xml:space="preserve">FilterConfigCLI-r16 ::=             </w:t>
      </w:r>
      <w:r>
        <w:rPr>
          <w:color w:val="993366"/>
        </w:rPr>
        <w:t>SEQUENCE</w:t>
      </w:r>
      <w:r>
        <w:t xml:space="preserve"> {</w:t>
      </w:r>
    </w:p>
    <w:p>
      <w:pPr>
        <w:pStyle w:val="64"/>
      </w:pPr>
      <w:r>
        <w:t xml:space="preserve">    filterCoefficientSRS-RSRP-r16       FilterCoefficient                                       DEFAULT fc4,</w:t>
      </w:r>
    </w:p>
    <w:p>
      <w:pPr>
        <w:pStyle w:val="64"/>
      </w:pPr>
      <w:r>
        <w:t xml:space="preserve">    filterCoefficientCLI-RSSI-r16       FilterCoefficient                                       DEFAULT fc4</w:t>
      </w:r>
    </w:p>
    <w:p>
      <w:pPr>
        <w:pStyle w:val="64"/>
      </w:pPr>
      <w:r>
        <w:t>}</w:t>
      </w:r>
    </w:p>
    <w:p>
      <w:pPr>
        <w:pStyle w:val="64"/>
      </w:pPr>
    </w:p>
    <w:p>
      <w:pPr>
        <w:pStyle w:val="64"/>
      </w:pPr>
      <w:r>
        <w:t xml:space="preserve">QuantityConfigUTRA-FDD-r16 ::=      </w:t>
      </w:r>
      <w:r>
        <w:rPr>
          <w:color w:val="993366"/>
        </w:rPr>
        <w:t>SEQUENCE</w:t>
      </w:r>
      <w:r>
        <w:t xml:space="preserve"> {</w:t>
      </w:r>
    </w:p>
    <w:p>
      <w:pPr>
        <w:pStyle w:val="64"/>
      </w:pPr>
      <w:r>
        <w:t xml:space="preserve">    filterCoefficientRSCP-r16           FilterCoefficient                                       DEFAULT fc4,</w:t>
      </w:r>
    </w:p>
    <w:p>
      <w:pPr>
        <w:pStyle w:val="64"/>
      </w:pPr>
      <w:r>
        <w:t xml:space="preserve">    filterCoefficientEcNO-r16           FilterCoefficient                                       DEFAULT fc4</w:t>
      </w:r>
    </w:p>
    <w:p>
      <w:pPr>
        <w:pStyle w:val="64"/>
      </w:pPr>
      <w:r>
        <w:t>}</w:t>
      </w:r>
    </w:p>
    <w:p>
      <w:pPr>
        <w:pStyle w:val="64"/>
      </w:pPr>
    </w:p>
    <w:p>
      <w:pPr>
        <w:pStyle w:val="64"/>
        <w:rPr>
          <w:color w:val="808080"/>
        </w:rPr>
      </w:pPr>
      <w:r>
        <w:rPr>
          <w:color w:val="808080"/>
        </w:rPr>
        <w:t>-- TAG-QUANTITYCONFIG-STOP</w:t>
      </w:r>
    </w:p>
    <w:p>
      <w:pPr>
        <w:pStyle w:val="64"/>
        <w:rPr>
          <w:color w:val="808080"/>
        </w:rPr>
      </w:pPr>
      <w:r>
        <w:rPr>
          <w:color w:val="808080"/>
        </w:rPr>
        <w:t>-- ASN1STOP</w:t>
      </w:r>
    </w:p>
    <w:p/>
    <w:tbl>
      <w:tblPr>
        <w:tblStyle w:val="17"/>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8"/>
              <w:rPr>
                <w:szCs w:val="22"/>
                <w:lang w:eastAsia="sv-SE"/>
              </w:rPr>
            </w:pPr>
            <w:r>
              <w:rPr>
                <w:i/>
                <w:szCs w:val="22"/>
                <w:lang w:eastAsia="sv-SE"/>
              </w:rPr>
              <w:t xml:space="preserve">QuantityConfigNR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47"/>
              <w:rPr>
                <w:szCs w:val="22"/>
                <w:lang w:eastAsia="sv-SE"/>
              </w:rPr>
            </w:pPr>
            <w:r>
              <w:rPr>
                <w:b/>
                <w:i/>
                <w:szCs w:val="22"/>
                <w:lang w:eastAsia="sv-SE"/>
              </w:rPr>
              <w:t>quantityConfigCell</w:t>
            </w:r>
          </w:p>
          <w:p>
            <w:pPr>
              <w:pStyle w:val="47"/>
              <w:rPr>
                <w:szCs w:val="22"/>
                <w:lang w:eastAsia="sv-SE"/>
              </w:rPr>
            </w:pPr>
            <w:r>
              <w:rPr>
                <w:szCs w:val="22"/>
                <w:lang w:eastAsia="sv-SE"/>
              </w:rPr>
              <w:t>Specifies L3 filter configurations for cell measurement results for the configurable RS Types (e.g. SS/PBCH block and CSI-RS) and the configurable measurement quantities (e.g. RSRP, RSRQ and SINR).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47"/>
              <w:rPr>
                <w:szCs w:val="22"/>
                <w:lang w:eastAsia="sv-SE"/>
              </w:rPr>
            </w:pPr>
            <w:r>
              <w:rPr>
                <w:b/>
                <w:i/>
                <w:szCs w:val="22"/>
                <w:lang w:eastAsia="sv-SE"/>
              </w:rPr>
              <w:t>quantityConfigRS-Index</w:t>
            </w:r>
          </w:p>
          <w:p>
            <w:pPr>
              <w:pStyle w:val="47"/>
              <w:rPr>
                <w:szCs w:val="22"/>
                <w:lang w:eastAsia="sv-SE"/>
              </w:rPr>
            </w:pPr>
            <w:r>
              <w:rPr>
                <w:szCs w:val="22"/>
                <w:lang w:eastAsia="sv-SE"/>
              </w:rPr>
              <w:t>Specifies L3 filter configurations for measurement results per RS index for the configurable RS Types (e.g. SS/PBCH block and CSI-RS) and the configurable measurement quantities (e.g. RSRP, RSRQ and SINR).</w:t>
            </w:r>
          </w:p>
        </w:tc>
      </w:tr>
    </w:tbl>
    <w:p/>
    <w:tbl>
      <w:tblPr>
        <w:tblStyle w:val="17"/>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szCs w:val="22"/>
                <w:lang w:eastAsia="sv-SE"/>
              </w:rPr>
            </w:pPr>
            <w:r>
              <w:rPr>
                <w:i/>
                <w:szCs w:val="22"/>
                <w:lang w:eastAsia="sv-SE"/>
              </w:rPr>
              <w:t xml:space="preserve">QuantityConfigRS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47"/>
              <w:rPr>
                <w:szCs w:val="22"/>
                <w:lang w:eastAsia="sv-SE"/>
              </w:rPr>
            </w:pPr>
            <w:r>
              <w:rPr>
                <w:b/>
                <w:i/>
                <w:szCs w:val="22"/>
                <w:lang w:eastAsia="sv-SE"/>
              </w:rPr>
              <w:t>csi-RS-FilterConfig</w:t>
            </w:r>
          </w:p>
          <w:p>
            <w:pPr>
              <w:pStyle w:val="47"/>
              <w:rPr>
                <w:szCs w:val="22"/>
                <w:lang w:eastAsia="sv-SE"/>
              </w:rPr>
            </w:pPr>
            <w:r>
              <w:rPr>
                <w:szCs w:val="22"/>
                <w:lang w:eastAsia="sv-SE"/>
              </w:rPr>
              <w:t>CSI-RS based L3 filter configurations:</w:t>
            </w:r>
          </w:p>
          <w:p>
            <w:pPr>
              <w:pStyle w:val="47"/>
              <w:rPr>
                <w:szCs w:val="22"/>
                <w:lang w:eastAsia="sv-SE"/>
              </w:rPr>
            </w:pPr>
            <w:r>
              <w:rPr>
                <w:szCs w:val="22"/>
                <w:lang w:eastAsia="sv-SE"/>
              </w:rPr>
              <w:t>Specifies L3 filter configurations for CSI-RSRP, CSI-RSRQ and CSI-SINR measurement results from the L1 filter(s), as defined in TS 38.215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47"/>
              <w:rPr>
                <w:szCs w:val="22"/>
                <w:lang w:eastAsia="sv-SE"/>
              </w:rPr>
            </w:pPr>
            <w:r>
              <w:rPr>
                <w:b/>
                <w:i/>
                <w:szCs w:val="22"/>
                <w:lang w:eastAsia="sv-SE"/>
              </w:rPr>
              <w:t>ssb-FilterConfig</w:t>
            </w:r>
          </w:p>
          <w:p>
            <w:pPr>
              <w:pStyle w:val="47"/>
              <w:rPr>
                <w:szCs w:val="22"/>
                <w:lang w:eastAsia="sv-SE"/>
              </w:rPr>
            </w:pPr>
            <w:r>
              <w:rPr>
                <w:szCs w:val="22"/>
                <w:lang w:eastAsia="sv-SE"/>
              </w:rPr>
              <w:t>SS Block based L3 filter configurations:</w:t>
            </w:r>
          </w:p>
          <w:p>
            <w:pPr>
              <w:pStyle w:val="47"/>
              <w:rPr>
                <w:szCs w:val="22"/>
                <w:lang w:eastAsia="sv-SE"/>
              </w:rPr>
            </w:pPr>
            <w:r>
              <w:rPr>
                <w:szCs w:val="22"/>
                <w:lang w:eastAsia="sv-SE"/>
              </w:rPr>
              <w:t>Specifies L3 filter configurations for SS-RSRP, SS-RSRQ and SS-SINR measurement results from the L1 filter(s), as defined in TS 38.215 [9].</w:t>
            </w:r>
          </w:p>
        </w:tc>
      </w:tr>
    </w:tbl>
    <w:p/>
    <w:tbl>
      <w:tblPr>
        <w:tblStyle w:val="17"/>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68"/>
              <w:rPr>
                <w:b w:val="0"/>
                <w:i/>
                <w:iCs/>
                <w:lang w:eastAsia="zh-CN"/>
              </w:rPr>
            </w:pPr>
            <w:r>
              <w:rPr>
                <w:i/>
                <w:iCs/>
                <w:lang w:eastAsia="zh-CN"/>
              </w:rPr>
              <w:t>QuantityConfigUTRA-FDD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47"/>
              <w:rPr>
                <w:b/>
                <w:bCs/>
                <w:i/>
                <w:iCs/>
                <w:lang w:eastAsia="zh-CN"/>
              </w:rPr>
            </w:pPr>
            <w:r>
              <w:rPr>
                <w:b/>
                <w:bCs/>
                <w:i/>
                <w:iCs/>
                <w:lang w:eastAsia="zh-CN"/>
              </w:rPr>
              <w:t>filterCoefficientRSCP</w:t>
            </w:r>
          </w:p>
          <w:p>
            <w:pPr>
              <w:pStyle w:val="47"/>
              <w:rPr>
                <w:szCs w:val="22"/>
                <w:lang w:eastAsia="sv-SE"/>
              </w:rPr>
            </w:pPr>
            <w:r>
              <w:rPr>
                <w:lang w:eastAsia="sv-SE"/>
              </w:rPr>
              <w:t>Specifies L3 filter coefficient for FDD UTRAN CPICH_RSCP measuement results from L1 filter.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47"/>
              <w:rPr>
                <w:b/>
                <w:bCs/>
                <w:i/>
                <w:iCs/>
                <w:lang w:eastAsia="zh-CN"/>
              </w:rPr>
            </w:pPr>
            <w:r>
              <w:rPr>
                <w:b/>
                <w:bCs/>
                <w:i/>
                <w:iCs/>
                <w:lang w:eastAsia="zh-CN"/>
              </w:rPr>
              <w:t>filterCoefficientEcN0</w:t>
            </w:r>
          </w:p>
          <w:p>
            <w:pPr>
              <w:pStyle w:val="47"/>
              <w:rPr>
                <w:lang w:eastAsia="sv-SE"/>
              </w:rPr>
            </w:pPr>
            <w:r>
              <w:rPr>
                <w:lang w:eastAsia="sv-SE"/>
              </w:rPr>
              <w:t>Specifies L3 filter coefficient for FDD UTRAN CPICH_EcN0 measuement results from L1 filter.</w:t>
            </w:r>
          </w:p>
        </w:tc>
      </w:tr>
    </w:tbl>
    <w:p>
      <w:pPr>
        <w:rPr>
          <w:rFonts w:hint="default"/>
          <w:b w:val="0"/>
          <w:bCs/>
          <w:sz w:val="22"/>
          <w:szCs w:val="22"/>
          <w:lang w:val="en-US" w:eastAsia="zh-CN"/>
        </w:rPr>
      </w:pPr>
    </w:p>
    <w:p>
      <w:pPr>
        <w:rPr>
          <w:rFonts w:hint="default"/>
          <w:b w:val="0"/>
          <w:bCs/>
          <w:sz w:val="22"/>
          <w:szCs w:val="22"/>
          <w:lang w:val="en-US" w:eastAsia="zh-CN"/>
        </w:rPr>
      </w:pPr>
      <w:r>
        <w:rPr>
          <w:rFonts w:hint="eastAsia"/>
          <w:b w:val="0"/>
          <w:bCs/>
          <w:sz w:val="22"/>
          <w:szCs w:val="22"/>
          <w:lang w:val="en-US" w:eastAsia="zh-CN"/>
        </w:rPr>
        <w:t>We agree with companies that L3 filtering will cause extra delay and thus, we suggest to disable the L3 filtering by setting the Filter coefficient to 0. It</w:t>
      </w:r>
      <w:r>
        <w:rPr>
          <w:rFonts w:hint="default"/>
          <w:b w:val="0"/>
          <w:bCs/>
          <w:sz w:val="22"/>
          <w:szCs w:val="22"/>
          <w:lang w:val="en-US" w:eastAsia="zh-CN"/>
        </w:rPr>
        <w:t>’</w:t>
      </w:r>
      <w:r>
        <w:rPr>
          <w:rFonts w:hint="eastAsia"/>
          <w:b w:val="0"/>
          <w:bCs/>
          <w:sz w:val="22"/>
          <w:szCs w:val="22"/>
          <w:lang w:val="en-US" w:eastAsia="zh-CN"/>
        </w:rPr>
        <w:t>s common in RRM test cases to set Filter coefficient to 0 to disable L3 filtering for the simplicity of testing. We can give one example of this below while there are a lot more tests in Ts 38.133 [5] which disables L3 filtering.</w:t>
      </w:r>
    </w:p>
    <w:p>
      <w:pPr>
        <w:rPr>
          <w:rFonts w:hint="eastAsia"/>
          <w:b w:val="0"/>
          <w:bCs/>
          <w:sz w:val="22"/>
          <w:szCs w:val="22"/>
          <w:lang w:val="en-US" w:eastAsia="zh-CN"/>
        </w:rPr>
      </w:pPr>
    </w:p>
    <w:p>
      <w:pPr>
        <w:pStyle w:val="62"/>
        <w:rPr>
          <w:lang w:val="en-US" w:eastAsia="zh-CN"/>
        </w:rPr>
      </w:pPr>
      <w:r>
        <w:t>Table A.4.5.2.8.1-2: General test parameters for E-UTRAN – NR FR1 interruptions at SRS carrier based switching in asynchronous EN-DC</w:t>
      </w:r>
    </w:p>
    <w:tbl>
      <w:tblPr>
        <w:tblStyle w:val="1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68"/>
              <w:rPr>
                <w:rFonts w:cs="Arial"/>
                <w:lang w:eastAsia="ko-KR"/>
              </w:rPr>
            </w:pPr>
            <w:r>
              <w:rPr>
                <w:rFonts w:cs="Arial"/>
                <w:lang w:eastAsia="ko-KR"/>
              </w:rPr>
              <w:t>Parameter</w:t>
            </w:r>
          </w:p>
        </w:tc>
        <w:tc>
          <w:tcPr>
            <w:tcW w:w="709" w:type="dxa"/>
            <w:tcBorders>
              <w:top w:val="single" w:color="auto" w:sz="4" w:space="0"/>
              <w:left w:val="single" w:color="auto" w:sz="4" w:space="0"/>
              <w:bottom w:val="single" w:color="auto" w:sz="4" w:space="0"/>
              <w:right w:val="single" w:color="auto" w:sz="4" w:space="0"/>
            </w:tcBorders>
          </w:tcPr>
          <w:p>
            <w:pPr>
              <w:pStyle w:val="68"/>
              <w:rPr>
                <w:rFonts w:cs="Arial"/>
                <w:lang w:eastAsia="ko-KR"/>
              </w:rPr>
            </w:pPr>
            <w:r>
              <w:rPr>
                <w:rFonts w:cs="Arial"/>
                <w:lang w:eastAsia="ko-KR"/>
              </w:rPr>
              <w:t>Unit</w:t>
            </w:r>
          </w:p>
        </w:tc>
        <w:tc>
          <w:tcPr>
            <w:tcW w:w="2977" w:type="dxa"/>
            <w:tcBorders>
              <w:top w:val="single" w:color="auto" w:sz="4" w:space="0"/>
              <w:left w:val="single" w:color="auto" w:sz="4" w:space="0"/>
              <w:bottom w:val="single" w:color="auto" w:sz="4" w:space="0"/>
              <w:right w:val="single" w:color="auto" w:sz="4" w:space="0"/>
            </w:tcBorders>
          </w:tcPr>
          <w:p>
            <w:pPr>
              <w:pStyle w:val="68"/>
              <w:rPr>
                <w:rFonts w:cs="Arial"/>
                <w:lang w:eastAsia="ko-KR"/>
              </w:rPr>
            </w:pPr>
            <w:r>
              <w:rPr>
                <w:rFonts w:cs="Arial"/>
                <w:lang w:eastAsia="ko-KR"/>
              </w:rPr>
              <w:t>Value</w:t>
            </w:r>
          </w:p>
        </w:tc>
        <w:tc>
          <w:tcPr>
            <w:tcW w:w="3652" w:type="dxa"/>
            <w:tcBorders>
              <w:top w:val="single" w:color="auto" w:sz="4" w:space="0"/>
              <w:left w:val="single" w:color="auto" w:sz="4" w:space="0"/>
              <w:bottom w:val="single" w:color="auto" w:sz="4" w:space="0"/>
              <w:right w:val="single" w:color="auto" w:sz="4" w:space="0"/>
            </w:tcBorders>
          </w:tcPr>
          <w:p>
            <w:pPr>
              <w:pStyle w:val="68"/>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47"/>
              <w:rPr>
                <w:rFonts w:cs="Arial"/>
                <w:lang w:val="it-IT" w:eastAsia="ko-KR"/>
              </w:rPr>
            </w:pPr>
            <w:r>
              <w:rPr>
                <w:rFonts w:cs="v4.2.0"/>
                <w:lang w:val="it-IT" w:eastAsia="ko-KR"/>
              </w:rPr>
              <w:t>RF Channel Number</w:t>
            </w:r>
          </w:p>
        </w:tc>
        <w:tc>
          <w:tcPr>
            <w:tcW w:w="709" w:type="dxa"/>
            <w:tcBorders>
              <w:top w:val="single" w:color="auto" w:sz="4" w:space="0"/>
              <w:left w:val="single" w:color="auto" w:sz="4" w:space="0"/>
              <w:bottom w:val="single" w:color="auto" w:sz="4" w:space="0"/>
              <w:right w:val="single" w:color="auto" w:sz="4" w:space="0"/>
            </w:tcBorders>
          </w:tcPr>
          <w:p>
            <w:pPr>
              <w:pStyle w:val="47"/>
              <w:rPr>
                <w:rFonts w:cs="Arial"/>
                <w:lang w:val="it-IT" w:eastAsia="ko-KR"/>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69"/>
              <w:rPr>
                <w:rFonts w:cs="Arial"/>
                <w:lang w:val="sv-SE" w:eastAsia="ko-KR"/>
              </w:rPr>
            </w:pPr>
            <w:r>
              <w:rPr>
                <w:rFonts w:cs="Arial"/>
                <w:lang w:val="sv-SE" w:eastAsia="ko-KR"/>
              </w:rPr>
              <w:t>1, 2, 3</w:t>
            </w:r>
          </w:p>
        </w:tc>
        <w:tc>
          <w:tcPr>
            <w:tcW w:w="3652" w:type="dxa"/>
            <w:tcBorders>
              <w:top w:val="single" w:color="auto" w:sz="4" w:space="0"/>
              <w:left w:val="single" w:color="auto" w:sz="4" w:space="0"/>
              <w:bottom w:val="single" w:color="auto" w:sz="4" w:space="0"/>
              <w:right w:val="single" w:color="auto" w:sz="4" w:space="0"/>
            </w:tcBorders>
          </w:tcPr>
          <w:p>
            <w:pPr>
              <w:pStyle w:val="47"/>
              <w:rPr>
                <w:rFonts w:cs="Arial"/>
                <w:lang w:val="en-US" w:eastAsia="ko-KR"/>
              </w:rPr>
            </w:pPr>
            <w:r>
              <w:rPr>
                <w:rFonts w:cs="v4.2.0"/>
                <w:lang w:eastAsia="ko-KR"/>
              </w:rPr>
              <w:t>One is E-UTRAN RF channel and the other two are NR RF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47"/>
              <w:rPr>
                <w:rFonts w:cs="v4.2.0"/>
                <w:lang w:val="it-IT" w:eastAsia="ko-KR"/>
              </w:rPr>
            </w:pPr>
            <w:r>
              <w:rPr>
                <w:rFonts w:hint="eastAsia" w:cs="v4.2.0"/>
                <w:lang w:val="it-IT" w:eastAsia="zh-CN"/>
              </w:rPr>
              <w:t>Active</w:t>
            </w:r>
            <w:r>
              <w:rPr>
                <w:rFonts w:cs="v4.2.0"/>
                <w:lang w:val="it-IT" w:eastAsia="ko-KR"/>
              </w:rPr>
              <w:t xml:space="preserve"> PCell</w:t>
            </w:r>
          </w:p>
        </w:tc>
        <w:tc>
          <w:tcPr>
            <w:tcW w:w="709" w:type="dxa"/>
            <w:tcBorders>
              <w:top w:val="single" w:color="auto" w:sz="4" w:space="0"/>
              <w:left w:val="single" w:color="auto" w:sz="4" w:space="0"/>
              <w:bottom w:val="single" w:color="auto" w:sz="4" w:space="0"/>
              <w:right w:val="single" w:color="auto" w:sz="4" w:space="0"/>
            </w:tcBorders>
          </w:tcPr>
          <w:p>
            <w:pPr>
              <w:pStyle w:val="47"/>
              <w:rPr>
                <w:rFonts w:cs="Arial"/>
                <w:lang w:val="it-IT" w:eastAsia="ko-KR"/>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69"/>
              <w:rPr>
                <w:rFonts w:cs="Arial"/>
                <w:lang w:val="sv-SE" w:eastAsia="ko-KR"/>
              </w:rPr>
            </w:pPr>
            <w:r>
              <w:rPr>
                <w:rFonts w:cs="Arial"/>
                <w:lang w:val="sv-SE" w:eastAsia="ko-KR"/>
              </w:rPr>
              <w:t>Cell1</w:t>
            </w:r>
          </w:p>
        </w:tc>
        <w:tc>
          <w:tcPr>
            <w:tcW w:w="3652" w:type="dxa"/>
            <w:tcBorders>
              <w:top w:val="single" w:color="auto" w:sz="4" w:space="0"/>
              <w:left w:val="single" w:color="auto" w:sz="4" w:space="0"/>
              <w:bottom w:val="single" w:color="auto" w:sz="4" w:space="0"/>
              <w:right w:val="single" w:color="auto" w:sz="4" w:space="0"/>
            </w:tcBorders>
          </w:tcPr>
          <w:p>
            <w:pPr>
              <w:pStyle w:val="47"/>
              <w:rPr>
                <w:rFonts w:cs="v4.2.0"/>
                <w:lang w:eastAsia="ko-KR"/>
              </w:rPr>
            </w:pPr>
            <w:r>
              <w:rPr>
                <w:rFonts w:cs="v4.2.0"/>
                <w:lang w:eastAsia="ko-KR"/>
              </w:rPr>
              <w:t>PCell on E-UTRAN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Configured PSCell</w:t>
            </w:r>
          </w:p>
        </w:tc>
        <w:tc>
          <w:tcPr>
            <w:tcW w:w="709"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69"/>
              <w:rPr>
                <w:rFonts w:cs="Arial"/>
                <w:lang w:eastAsia="ko-KR"/>
              </w:rPr>
            </w:pPr>
            <w:r>
              <w:rPr>
                <w:rFonts w:cs="Arial"/>
                <w:lang w:eastAsia="ko-KR"/>
              </w:rPr>
              <w:t>Cell2</w:t>
            </w:r>
          </w:p>
        </w:tc>
        <w:tc>
          <w:tcPr>
            <w:tcW w:w="3652"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Configured PSCell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Configured SCell</w:t>
            </w:r>
          </w:p>
        </w:tc>
        <w:tc>
          <w:tcPr>
            <w:tcW w:w="709"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69"/>
              <w:rPr>
                <w:rFonts w:cs="Arial"/>
                <w:lang w:eastAsia="ko-KR"/>
              </w:rPr>
            </w:pPr>
            <w:r>
              <w:rPr>
                <w:rFonts w:cs="Arial"/>
                <w:lang w:eastAsia="ko-KR"/>
              </w:rPr>
              <w:t>Cell3</w:t>
            </w:r>
          </w:p>
        </w:tc>
        <w:tc>
          <w:tcPr>
            <w:tcW w:w="3652"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Configured activated secondary cell on NR RF channel number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CP length</w:t>
            </w:r>
          </w:p>
        </w:tc>
        <w:tc>
          <w:tcPr>
            <w:tcW w:w="709"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69"/>
              <w:rPr>
                <w:rFonts w:cs="Arial"/>
                <w:lang w:eastAsia="ko-KR"/>
              </w:rPr>
            </w:pPr>
            <w:r>
              <w:rPr>
                <w:rFonts w:cs="Arial"/>
                <w:lang w:eastAsia="ko-KR"/>
              </w:rPr>
              <w:t>Normal</w:t>
            </w:r>
          </w:p>
        </w:tc>
        <w:tc>
          <w:tcPr>
            <w:tcW w:w="3652"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Arial"/>
                <w:lang w:eastAsia="ko-KR"/>
              </w:rPr>
              <w:t>Applicable to Cell1, Cell2 and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Arial"/>
                <w:lang w:eastAsia="ko-KR"/>
              </w:rPr>
              <w:t>DRX</w:t>
            </w:r>
          </w:p>
        </w:tc>
        <w:tc>
          <w:tcPr>
            <w:tcW w:w="709"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69"/>
              <w:rPr>
                <w:rFonts w:cs="Arial"/>
                <w:lang w:eastAsia="ko-KR"/>
              </w:rPr>
            </w:pPr>
            <w:r>
              <w:rPr>
                <w:rFonts w:cs="Arial"/>
                <w:lang w:eastAsia="ko-KR"/>
              </w:rPr>
              <w:t>OFF</w:t>
            </w:r>
          </w:p>
        </w:tc>
        <w:tc>
          <w:tcPr>
            <w:tcW w:w="3652"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47"/>
              <w:rPr>
                <w:rFonts w:cs="Arial"/>
                <w:highlight w:val="yellow"/>
                <w:lang w:eastAsia="ko-KR"/>
              </w:rPr>
            </w:pPr>
            <w:r>
              <w:rPr>
                <w:rFonts w:cs="Arial"/>
                <w:highlight w:val="yellow"/>
                <w:lang w:eastAsia="ko-KR"/>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47"/>
              <w:rPr>
                <w:rFonts w:cs="Arial"/>
                <w:highlight w:val="yellow"/>
                <w:lang w:eastAsia="ko-KR"/>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69"/>
              <w:rPr>
                <w:rFonts w:cs="Arial"/>
                <w:highlight w:val="yellow"/>
                <w:lang w:eastAsia="ko-KR"/>
              </w:rPr>
            </w:pPr>
            <w:r>
              <w:rPr>
                <w:rFonts w:cs="Arial"/>
                <w:highlight w:val="yellow"/>
                <w:lang w:eastAsia="ko-KR"/>
              </w:rPr>
              <w:t>0</w:t>
            </w:r>
          </w:p>
        </w:tc>
        <w:tc>
          <w:tcPr>
            <w:tcW w:w="3652" w:type="dxa"/>
            <w:tcBorders>
              <w:top w:val="single" w:color="auto" w:sz="4" w:space="0"/>
              <w:left w:val="single" w:color="auto" w:sz="4" w:space="0"/>
              <w:bottom w:val="single" w:color="auto" w:sz="4" w:space="0"/>
              <w:right w:val="single" w:color="auto" w:sz="4" w:space="0"/>
            </w:tcBorders>
          </w:tcPr>
          <w:p>
            <w:pPr>
              <w:pStyle w:val="47"/>
              <w:rPr>
                <w:rFonts w:cs="Arial"/>
                <w:highlight w:val="yellow"/>
                <w:lang w:eastAsia="ko-KR"/>
              </w:rPr>
            </w:pPr>
            <w:r>
              <w:rPr>
                <w:rFonts w:cs="v4.2.0"/>
                <w:highlight w:val="yellow"/>
                <w:lang w:eastAsia="ko-KR"/>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T1</w:t>
            </w:r>
          </w:p>
        </w:tc>
        <w:tc>
          <w:tcPr>
            <w:tcW w:w="709"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s</w:t>
            </w:r>
          </w:p>
        </w:tc>
        <w:tc>
          <w:tcPr>
            <w:tcW w:w="2977" w:type="dxa"/>
            <w:tcBorders>
              <w:top w:val="single" w:color="auto" w:sz="4" w:space="0"/>
              <w:left w:val="single" w:color="auto" w:sz="4" w:space="0"/>
              <w:bottom w:val="single" w:color="auto" w:sz="4" w:space="0"/>
              <w:right w:val="single" w:color="auto" w:sz="4" w:space="0"/>
            </w:tcBorders>
            <w:vAlign w:val="center"/>
          </w:tcPr>
          <w:p>
            <w:pPr>
              <w:pStyle w:val="69"/>
              <w:rPr>
                <w:rFonts w:cs="Arial"/>
                <w:lang w:eastAsia="ko-KR"/>
              </w:rPr>
            </w:pPr>
            <w:r>
              <w:rPr>
                <w:rFonts w:cs="Arial"/>
                <w:lang w:eastAsia="ko-KR"/>
              </w:rPr>
              <w:t>5</w:t>
            </w:r>
          </w:p>
        </w:tc>
        <w:tc>
          <w:tcPr>
            <w:tcW w:w="3652"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T2</w:t>
            </w:r>
          </w:p>
        </w:tc>
        <w:tc>
          <w:tcPr>
            <w:tcW w:w="709"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ms</w:t>
            </w:r>
          </w:p>
        </w:tc>
        <w:tc>
          <w:tcPr>
            <w:tcW w:w="2977" w:type="dxa"/>
            <w:tcBorders>
              <w:top w:val="single" w:color="auto" w:sz="4" w:space="0"/>
              <w:left w:val="single" w:color="auto" w:sz="4" w:space="0"/>
              <w:bottom w:val="single" w:color="auto" w:sz="4" w:space="0"/>
              <w:right w:val="single" w:color="auto" w:sz="4" w:space="0"/>
            </w:tcBorders>
            <w:vAlign w:val="center"/>
          </w:tcPr>
          <w:p>
            <w:pPr>
              <w:pStyle w:val="69"/>
              <w:rPr>
                <w:rFonts w:cs="Arial"/>
                <w:lang w:eastAsia="ko-KR"/>
              </w:rPr>
            </w:pPr>
            <w:r>
              <w:rPr>
                <w:rFonts w:cs="Arial"/>
                <w:lang w:eastAsia="ko-KR"/>
              </w:rPr>
              <w:t>40</w:t>
            </w:r>
          </w:p>
        </w:tc>
        <w:tc>
          <w:tcPr>
            <w:tcW w:w="3652" w:type="dxa"/>
            <w:tcBorders>
              <w:top w:val="single" w:color="auto" w:sz="4" w:space="0"/>
              <w:left w:val="single" w:color="auto" w:sz="4" w:space="0"/>
              <w:bottom w:val="single" w:color="auto" w:sz="4" w:space="0"/>
              <w:right w:val="single" w:color="auto" w:sz="4" w:space="0"/>
            </w:tcBorders>
          </w:tcPr>
          <w:p>
            <w:pPr>
              <w:pStyle w:val="47"/>
              <w:rPr>
                <w:rFonts w:cs="Arial"/>
                <w:lang w:eastAsia="ko-KR"/>
              </w:rPr>
            </w:pPr>
            <w:r>
              <w:rPr>
                <w:rFonts w:cs="v4.2.0"/>
                <w:lang w:eastAsia="ko-KR"/>
              </w:rPr>
              <w:t>UE shall perform SRS switching during T2</w:t>
            </w:r>
          </w:p>
        </w:tc>
      </w:tr>
    </w:tbl>
    <w:p>
      <w:pPr>
        <w:rPr>
          <w:rFonts w:hint="default"/>
          <w:b w:val="0"/>
          <w:bCs/>
          <w:sz w:val="22"/>
          <w:szCs w:val="22"/>
          <w:lang w:val="en-US" w:eastAsia="zh-CN"/>
        </w:rPr>
      </w:pP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b w:val="0"/>
          <w:bCs/>
          <w:sz w:val="22"/>
          <w:szCs w:val="22"/>
          <w:lang w:val="en-US" w:eastAsia="zh-CN"/>
        </w:rPr>
        <w:t>L3 filtering can be disabled by setting the Filter coefficient to 0 and it</w:t>
      </w:r>
      <w:r>
        <w:rPr>
          <w:rFonts w:hint="default"/>
          <w:b w:val="0"/>
          <w:bCs/>
          <w:sz w:val="22"/>
          <w:szCs w:val="22"/>
          <w:lang w:val="en-US" w:eastAsia="zh-CN"/>
        </w:rPr>
        <w:t>’</w:t>
      </w:r>
      <w:r>
        <w:rPr>
          <w:rFonts w:hint="eastAsia"/>
          <w:b w:val="0"/>
          <w:bCs/>
          <w:sz w:val="22"/>
          <w:szCs w:val="22"/>
          <w:lang w:val="en-US" w:eastAsia="zh-CN"/>
        </w:rPr>
        <w:t>s common in RRM test cases to do so.</w:t>
      </w:r>
    </w:p>
    <w:p>
      <w:pPr>
        <w:pStyle w:val="35"/>
        <w:rPr>
          <w:rFonts w:hint="eastAsia"/>
          <w:b w:val="0"/>
          <w:bCs/>
          <w:sz w:val="22"/>
          <w:szCs w:val="22"/>
          <w:lang w:val="en-US" w:eastAsia="zh-CN"/>
        </w:rPr>
      </w:pPr>
      <w:r>
        <w:rPr>
          <w:rFonts w:hint="eastAsia"/>
          <w:b/>
          <w:bCs w:val="0"/>
          <w:sz w:val="22"/>
          <w:szCs w:val="22"/>
          <w:lang w:val="en-US" w:eastAsia="zh-CN"/>
        </w:rPr>
        <w:t xml:space="preserve">Disable L3 filtering in the test by configuring the Filter coefficient to 0. </w:t>
      </w:r>
    </w:p>
    <w:p>
      <w:pPr>
        <w:pStyle w:val="35"/>
        <w:numPr>
          <w:ilvl w:val="0"/>
          <w:numId w:val="0"/>
        </w:numPr>
        <w:ind w:leftChars="0"/>
        <w:rPr>
          <w:rFonts w:hint="eastAsia" w:ascii="Times New Roman" w:hAnsi="Times New Roman"/>
          <w:b w:val="0"/>
          <w:bCs/>
          <w:sz w:val="22"/>
          <w:szCs w:val="22"/>
          <w:lang w:val="en-US" w:eastAsia="zh-CN"/>
        </w:rPr>
      </w:pPr>
      <w:r>
        <w:rPr>
          <w:rFonts w:hint="eastAsia"/>
          <w:b w:val="0"/>
          <w:bCs/>
          <w:lang w:val="en-US" w:eastAsia="zh-CN"/>
        </w:rPr>
        <w:t xml:space="preserve">With the above analysis and modification of our previous CR to address to the comments from companies, we think the test is feasible and complete. </w:t>
      </w:r>
      <w:r>
        <w:rPr>
          <w:rFonts w:hint="eastAsia" w:ascii="Times New Roman" w:hAnsi="Times New Roman"/>
          <w:b w:val="0"/>
          <w:bCs/>
          <w:sz w:val="22"/>
          <w:szCs w:val="22"/>
          <w:lang w:val="en-US" w:eastAsia="zh-CN"/>
        </w:rPr>
        <w:t>We have prepared a CR [6] to add such requirements to TS 38.133 along with this discussion paper.</w:t>
      </w:r>
    </w:p>
    <w:p>
      <w:pPr>
        <w:numPr>
          <w:ilvl w:val="0"/>
          <w:numId w:val="0"/>
        </w:numPr>
        <w:spacing w:before="120" w:beforeLines="50" w:after="120"/>
        <w:ind w:leftChars="0"/>
        <w:jc w:val="both"/>
        <w:rPr>
          <w:rFonts w:hint="eastAsia" w:ascii="Times New Roman" w:hAnsi="Times New Roman"/>
          <w:b/>
          <w:bCs/>
          <w:sz w:val="22"/>
          <w:szCs w:val="22"/>
          <w:lang w:val="en-US" w:eastAsia="zh-CN"/>
        </w:rPr>
      </w:pPr>
      <w:r>
        <w:rPr>
          <w:rFonts w:hint="eastAsia" w:ascii="Times New Roman" w:hAnsi="Times New Roman"/>
          <w:b/>
          <w:bCs/>
          <w:sz w:val="22"/>
          <w:szCs w:val="22"/>
          <w:lang w:val="en-US" w:eastAsia="zh-CN"/>
        </w:rPr>
        <w:t>Proposal 3</w:t>
      </w:r>
      <w:r>
        <w:rPr>
          <w:rFonts w:ascii="Times New Roman" w:hAnsi="Times New Roman"/>
          <w:b/>
          <w:bCs/>
          <w:sz w:val="22"/>
          <w:szCs w:val="22"/>
          <w:lang w:val="en-US" w:eastAsia="zh-CN"/>
        </w:rPr>
        <w:t>:</w:t>
      </w:r>
      <w:r>
        <w:rPr>
          <w:rFonts w:hint="eastAsia" w:ascii="Times New Roman" w:hAnsi="Times New Roman"/>
          <w:b/>
          <w:bCs/>
          <w:sz w:val="22"/>
          <w:szCs w:val="22"/>
          <w:lang w:val="en-US" w:eastAsia="zh-CN"/>
        </w:rPr>
        <w:t xml:space="preserve"> Agree on the campaign CR [6].</w:t>
      </w:r>
    </w:p>
    <w:p>
      <w:pPr>
        <w:numPr>
          <w:ilvl w:val="0"/>
          <w:numId w:val="0"/>
        </w:numPr>
        <w:spacing w:before="120" w:beforeLines="50" w:after="120"/>
        <w:ind w:leftChars="0"/>
        <w:jc w:val="both"/>
        <w:rPr>
          <w:rFonts w:hint="default" w:ascii="Times New Roman" w:hAnsi="Times New Roman"/>
          <w:b w:val="0"/>
          <w:bCs/>
          <w:sz w:val="22"/>
          <w:szCs w:val="22"/>
          <w:lang w:val="en-US" w:eastAsia="zh-CN"/>
        </w:rPr>
      </w:pPr>
      <w:r>
        <w:rPr>
          <w:rFonts w:hint="eastAsia" w:ascii="Times New Roman" w:hAnsi="Times New Roman"/>
          <w:b w:val="0"/>
          <w:bCs/>
          <w:sz w:val="22"/>
          <w:szCs w:val="22"/>
          <w:lang w:val="en-US" w:eastAsia="zh-CN"/>
        </w:rPr>
        <w:t>The CR [6] we prepared is for FR1. However, we think that FR2 test cases are also needed and are of even more importance. Thus, companies can discuss first with the CR [6] and then decide if FR2 tests are also needed. If yes, such a CR can be prepared and submitted to the next meeting.</w:t>
      </w:r>
    </w:p>
    <w:p>
      <w:pPr>
        <w:rPr>
          <w:rFonts w:hint="default"/>
          <w:lang w:val="en-US" w:eastAsia="zh-CN"/>
        </w:rPr>
      </w:pPr>
      <w:r>
        <w:rPr>
          <w:rFonts w:hint="eastAsia" w:ascii="Times New Roman" w:hAnsi="Times New Roman"/>
          <w:b/>
          <w:bCs/>
          <w:sz w:val="22"/>
          <w:szCs w:val="22"/>
          <w:lang w:val="en-US" w:eastAsia="zh-CN"/>
        </w:rPr>
        <w:t>Proposal 4</w:t>
      </w:r>
      <w:r>
        <w:rPr>
          <w:rFonts w:ascii="Times New Roman" w:hAnsi="Times New Roman"/>
          <w:b/>
          <w:bCs/>
          <w:sz w:val="22"/>
          <w:szCs w:val="22"/>
          <w:lang w:val="en-US" w:eastAsia="zh-CN"/>
        </w:rPr>
        <w:t>:</w:t>
      </w:r>
      <w:r>
        <w:rPr>
          <w:rFonts w:hint="eastAsia" w:ascii="Times New Roman" w:hAnsi="Times New Roman"/>
          <w:b/>
          <w:bCs/>
          <w:sz w:val="22"/>
          <w:szCs w:val="22"/>
          <w:lang w:val="en-US" w:eastAsia="zh-CN"/>
        </w:rPr>
        <w:t xml:space="preserve"> Define test cases for both FR1 and FR2.</w:t>
      </w:r>
    </w:p>
    <w:p>
      <w:pPr>
        <w:pStyle w:val="27"/>
        <w:jc w:val="both"/>
      </w:pPr>
      <w:r>
        <w:rPr>
          <w:rFonts w:hint="eastAsia"/>
          <w:lang w:val="en-US" w:eastAsia="zh-CN"/>
        </w:rPr>
        <w:t>3</w:t>
      </w:r>
      <w:r>
        <w:tab/>
      </w:r>
      <w:r>
        <w:t>Conclusion</w:t>
      </w:r>
    </w:p>
    <w:p>
      <w:pPr>
        <w:spacing w:before="120" w:beforeLines="50" w:after="120"/>
        <w:jc w:val="both"/>
        <w:rPr>
          <w:rFonts w:hint="eastAsia"/>
          <w:b/>
          <w:bCs w:val="0"/>
          <w:sz w:val="22"/>
          <w:szCs w:val="22"/>
          <w:lang w:val="en-US" w:eastAsia="zh-CN"/>
        </w:rPr>
      </w:pPr>
      <w:r>
        <w:rPr>
          <w:rFonts w:hint="eastAsia" w:ascii="Times New Roman" w:hAnsi="Times New Roman"/>
          <w:b/>
          <w:bCs/>
          <w:sz w:val="22"/>
          <w:szCs w:val="22"/>
          <w:lang w:val="en-US" w:eastAsia="zh-CN"/>
        </w:rPr>
        <w:t xml:space="preserve">Observation 1: </w:t>
      </w:r>
      <w:r>
        <w:rPr>
          <w:rFonts w:hint="eastAsia" w:ascii="Times New Roman" w:hAnsi="Times New Roman"/>
          <w:sz w:val="22"/>
          <w:szCs w:val="22"/>
          <w:lang w:val="en-US" w:eastAsia="zh-CN"/>
        </w:rPr>
        <w:t xml:space="preserve">With the suggested test method proposed in our campaign CR </w:t>
      </w:r>
      <w:r>
        <w:rPr>
          <w:rFonts w:hint="eastAsia" w:ascii="Times New Roman" w:hAnsi="Times New Roman"/>
          <w:sz w:val="22"/>
          <w:szCs w:val="22"/>
          <w:highlight w:val="none"/>
          <w:lang w:val="en-US" w:eastAsia="zh-CN"/>
        </w:rPr>
        <w:t>[6]</w:t>
      </w:r>
      <w:r>
        <w:rPr>
          <w:rFonts w:hint="eastAsia" w:ascii="Times New Roman" w:hAnsi="Times New Roman"/>
          <w:sz w:val="22"/>
          <w:szCs w:val="22"/>
          <w:lang w:val="en-US" w:eastAsia="zh-CN"/>
        </w:rPr>
        <w:t>, calculated pathloss changes before and after PL RS switching to trigger PHR and no conditions of triggering PHR are meet other than calculated PL changing.</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ascii="Times New Roman" w:hAnsi="Times New Roman"/>
          <w:b/>
          <w:bCs/>
          <w:sz w:val="22"/>
          <w:szCs w:val="22"/>
          <w:lang w:val="en-US" w:eastAsia="zh-CN"/>
        </w:rPr>
        <w:t>Test cases</w:t>
      </w:r>
      <w:r>
        <w:rPr>
          <w:rFonts w:ascii="Times New Roman" w:hAnsi="Times New Roman"/>
          <w:b/>
          <w:bCs/>
          <w:sz w:val="22"/>
          <w:szCs w:val="22"/>
          <w:lang w:val="en-US" w:eastAsia="zh-CN"/>
        </w:rPr>
        <w:t xml:space="preserve"> for MAC-CE based pathloss RS activation </w:t>
      </w:r>
      <w:r>
        <w:rPr>
          <w:rFonts w:hint="eastAsia" w:ascii="Times New Roman" w:hAnsi="Times New Roman"/>
          <w:b/>
          <w:bCs/>
          <w:sz w:val="22"/>
          <w:szCs w:val="22"/>
          <w:lang w:val="en-US" w:eastAsia="zh-CN"/>
        </w:rPr>
        <w:t>delay</w:t>
      </w:r>
      <w:r>
        <w:rPr>
          <w:rFonts w:ascii="Times New Roman" w:hAnsi="Times New Roman"/>
          <w:b/>
          <w:bCs/>
          <w:sz w:val="22"/>
          <w:szCs w:val="22"/>
          <w:lang w:val="en-US" w:eastAsia="zh-CN"/>
        </w:rPr>
        <w:t xml:space="preserve"> </w:t>
      </w:r>
      <w:r>
        <w:rPr>
          <w:rFonts w:hint="eastAsia" w:ascii="Times New Roman" w:hAnsi="Times New Roman"/>
          <w:b/>
          <w:bCs/>
          <w:sz w:val="22"/>
          <w:szCs w:val="22"/>
          <w:lang w:val="en-US" w:eastAsia="zh-CN"/>
        </w:rPr>
        <w:t>shall be</w:t>
      </w:r>
      <w:r>
        <w:rPr>
          <w:rFonts w:ascii="Times New Roman" w:hAnsi="Times New Roman"/>
          <w:b/>
          <w:bCs/>
          <w:sz w:val="22"/>
          <w:szCs w:val="22"/>
          <w:lang w:val="en-US" w:eastAsia="zh-CN"/>
        </w:rPr>
        <w:t xml:space="preserve"> </w:t>
      </w:r>
      <w:r>
        <w:rPr>
          <w:rFonts w:hint="eastAsia" w:ascii="Times New Roman" w:hAnsi="Times New Roman"/>
          <w:b/>
          <w:bCs/>
          <w:sz w:val="22"/>
          <w:szCs w:val="22"/>
          <w:lang w:val="en-US" w:eastAsia="zh-CN"/>
        </w:rPr>
        <w:t>defined</w:t>
      </w:r>
      <w:r>
        <w:rPr>
          <w:rFonts w:ascii="Times New Roman" w:hAnsi="Times New Roman"/>
          <w:b/>
          <w:bCs/>
          <w:sz w:val="22"/>
          <w:szCs w:val="22"/>
          <w:lang w:val="en-US" w:eastAsia="zh-CN"/>
        </w:rPr>
        <w:t xml:space="preserve"> in</w:t>
      </w:r>
      <w:r>
        <w:rPr>
          <w:rFonts w:hint="eastAsia" w:ascii="Times New Roman" w:hAnsi="Times New Roman"/>
          <w:b/>
          <w:bCs/>
          <w:sz w:val="22"/>
          <w:szCs w:val="22"/>
          <w:lang w:val="en-US" w:eastAsia="zh-CN"/>
        </w:rPr>
        <w:t xml:space="preserve"> TS 38.133.</w:t>
      </w:r>
      <w:r>
        <w:rPr>
          <w:rFonts w:hint="eastAsia"/>
          <w:b/>
          <w:bCs w:val="0"/>
          <w:sz w:val="22"/>
          <w:szCs w:val="22"/>
          <w:lang w:val="en-US" w:eastAsia="zh-CN"/>
        </w:rPr>
        <w:t>.</w:t>
      </w: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b w:val="0"/>
          <w:bCs/>
          <w:sz w:val="22"/>
          <w:szCs w:val="22"/>
          <w:lang w:val="en-US" w:eastAsia="zh-CN"/>
        </w:rPr>
        <w:t>L3 filtering can be disabled by setting the Filter coefficient to 0 and it</w:t>
      </w:r>
      <w:r>
        <w:rPr>
          <w:rFonts w:hint="default"/>
          <w:b w:val="0"/>
          <w:bCs/>
          <w:sz w:val="22"/>
          <w:szCs w:val="22"/>
          <w:lang w:val="en-US" w:eastAsia="zh-CN"/>
        </w:rPr>
        <w:t>’</w:t>
      </w:r>
      <w:r>
        <w:rPr>
          <w:rFonts w:hint="eastAsia"/>
          <w:b w:val="0"/>
          <w:bCs/>
          <w:sz w:val="22"/>
          <w:szCs w:val="22"/>
          <w:lang w:val="en-US" w:eastAsia="zh-CN"/>
        </w:rPr>
        <w:t>s common in RRM test cases to do so.</w:t>
      </w:r>
    </w:p>
    <w:p>
      <w:pPr>
        <w:rPr>
          <w:rFonts w:hint="eastAsia"/>
          <w:b w:val="0"/>
          <w:bCs/>
          <w:sz w:val="22"/>
          <w:szCs w:val="22"/>
          <w:lang w:val="en-US" w:eastAsia="zh-CN"/>
        </w:rPr>
      </w:pPr>
      <w:r>
        <w:rPr>
          <w:rFonts w:hint="eastAsia"/>
          <w:b/>
          <w:bCs w:val="0"/>
          <w:sz w:val="22"/>
          <w:szCs w:val="22"/>
          <w:lang w:val="en-US" w:eastAsia="zh-CN"/>
        </w:rPr>
        <w:t xml:space="preserve">Proposal 2: Disable L3 filtering in the test by configuring the Filter coefficient to 0. </w:t>
      </w:r>
    </w:p>
    <w:p>
      <w:pPr>
        <w:numPr>
          <w:ilvl w:val="0"/>
          <w:numId w:val="0"/>
        </w:numPr>
        <w:spacing w:before="120" w:beforeLines="50" w:after="120"/>
        <w:ind w:leftChars="0"/>
        <w:jc w:val="both"/>
        <w:rPr>
          <w:rFonts w:hint="eastAsia" w:ascii="Times New Roman" w:hAnsi="Times New Roman"/>
          <w:b/>
          <w:bCs/>
          <w:sz w:val="22"/>
          <w:szCs w:val="22"/>
          <w:lang w:val="en-US" w:eastAsia="zh-CN"/>
        </w:rPr>
      </w:pPr>
      <w:r>
        <w:rPr>
          <w:rFonts w:hint="eastAsia" w:ascii="Times New Roman" w:hAnsi="Times New Roman"/>
          <w:b/>
          <w:bCs/>
          <w:sz w:val="22"/>
          <w:szCs w:val="22"/>
          <w:lang w:val="en-US" w:eastAsia="zh-CN"/>
        </w:rPr>
        <w:t>Proposal 3</w:t>
      </w:r>
      <w:r>
        <w:rPr>
          <w:rFonts w:ascii="Times New Roman" w:hAnsi="Times New Roman"/>
          <w:b/>
          <w:bCs/>
          <w:sz w:val="22"/>
          <w:szCs w:val="22"/>
          <w:lang w:val="en-US" w:eastAsia="zh-CN"/>
        </w:rPr>
        <w:t>:</w:t>
      </w:r>
      <w:r>
        <w:rPr>
          <w:rFonts w:hint="eastAsia" w:ascii="Times New Roman" w:hAnsi="Times New Roman"/>
          <w:b/>
          <w:bCs/>
          <w:sz w:val="22"/>
          <w:szCs w:val="22"/>
          <w:lang w:val="en-US" w:eastAsia="zh-CN"/>
        </w:rPr>
        <w:t xml:space="preserve"> Agree on the campaign CR [6].</w:t>
      </w:r>
    </w:p>
    <w:p>
      <w:pPr>
        <w:rPr>
          <w:rFonts w:hint="eastAsia"/>
          <w:b/>
          <w:bCs w:val="0"/>
          <w:sz w:val="22"/>
          <w:szCs w:val="22"/>
          <w:lang w:val="en-US" w:eastAsia="zh-CN"/>
        </w:rPr>
      </w:pPr>
      <w:r>
        <w:rPr>
          <w:rFonts w:hint="eastAsia" w:ascii="Times New Roman" w:hAnsi="Times New Roman"/>
          <w:b/>
          <w:bCs/>
          <w:sz w:val="22"/>
          <w:szCs w:val="22"/>
          <w:lang w:val="en-US" w:eastAsia="zh-CN"/>
        </w:rPr>
        <w:t>Proposal 4</w:t>
      </w:r>
      <w:r>
        <w:rPr>
          <w:rFonts w:ascii="Times New Roman" w:hAnsi="Times New Roman"/>
          <w:b/>
          <w:bCs/>
          <w:sz w:val="22"/>
          <w:szCs w:val="22"/>
          <w:lang w:val="en-US" w:eastAsia="zh-CN"/>
        </w:rPr>
        <w:t>:</w:t>
      </w:r>
      <w:r>
        <w:rPr>
          <w:rFonts w:hint="eastAsia" w:ascii="Times New Roman" w:hAnsi="Times New Roman"/>
          <w:b/>
          <w:bCs/>
          <w:sz w:val="22"/>
          <w:szCs w:val="22"/>
          <w:lang w:val="en-US" w:eastAsia="zh-CN"/>
        </w:rPr>
        <w:t xml:space="preserve"> Define test cases for both FR1 and FR2.</w:t>
      </w:r>
    </w:p>
    <w:p>
      <w:pPr>
        <w:pStyle w:val="27"/>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R4-2108225</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38.321</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38.331</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38.213</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38.133</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R4-2113863</w:t>
      </w:r>
      <w:bookmarkStart w:id="6" w:name="_GoBack"/>
      <w:bookmarkEnd w:id="6"/>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Math">
    <w:panose1 w:val="02040503050406030204"/>
    <w:charset w:val="00"/>
    <w:family w:val="auto"/>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2EB55A3"/>
    <w:multiLevelType w:val="multilevel"/>
    <w:tmpl w:val="52EB55A3"/>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strike w:val="0"/>
        <w:dstrike w:val="0"/>
        <w:u w:val="none"/>
      </w:rPr>
    </w:lvl>
    <w:lvl w:ilvl="1" w:tentative="0">
      <w:start w:val="1"/>
      <w:numFmt w:val="bullet"/>
      <w:lvlText w:val="o"/>
      <w:lvlJc w:val="left"/>
      <w:pPr>
        <w:ind w:left="1656" w:hanging="360"/>
      </w:pPr>
      <w:rPr>
        <w:rFonts w:hint="default" w:ascii="Courier New" w:hAnsi="Courier New" w:cs="Courier New"/>
      </w:rPr>
    </w:lvl>
    <w:lvl w:ilvl="2" w:tentative="0">
      <w:start w:val="2"/>
      <w:numFmt w:val="bullet"/>
      <w:lvlText w:val="-"/>
      <w:lvlJc w:val="left"/>
      <w:pPr>
        <w:ind w:left="2376" w:hanging="360"/>
      </w:pPr>
      <w:rPr>
        <w:rFonts w:hint="default" w:ascii="Arial" w:hAnsi="Arial" w:eastAsia="Times New Roman" w:cs="Arial"/>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7"/>
  </w:num>
  <w:num w:numId="5">
    <w:abstractNumId w:val="4"/>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0CE4030"/>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411758"/>
    <w:rsid w:val="355F30F6"/>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235834"/>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0119CA"/>
    <w:rsid w:val="480739B6"/>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0D03EB"/>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2F0DA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4EC1A79"/>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1D3FED"/>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C249C4"/>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130742"/>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 w:type="paragraph" w:customStyle="1" w:styleId="68">
    <w:name w:val="TAH"/>
    <w:basedOn w:val="69"/>
    <w:qFormat/>
    <w:uiPriority w:val="0"/>
    <w:rPr>
      <w:b/>
    </w:rPr>
  </w:style>
  <w:style w:type="paragraph" w:customStyle="1" w:styleId="69">
    <w:name w:val="TAC"/>
    <w:basedOn w:val="47"/>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